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316" w:afterLines="100"/>
        <w:jc w:val="center"/>
        <w:rPr>
          <w:rFonts w:ascii="方正小标宋_GBK" w:hAnsi="方正小标宋_GBK" w:eastAsia="方正小标宋_GBK" w:cs="方正小标宋_GBK"/>
          <w:sz w:val="44"/>
          <w:szCs w:val="44"/>
        </w:rPr>
      </w:pPr>
      <w:bookmarkStart w:id="0" w:name="_GoBack"/>
      <w:bookmarkEnd w:id="0"/>
      <w:r>
        <w:rPr>
          <w:rFonts w:hint="eastAsia" w:ascii="方正小标宋_GBK" w:hAnsi="方正小标宋_GBK" w:eastAsia="方正小标宋_GBK" w:cs="方正小标宋_GBK"/>
          <w:sz w:val="44"/>
          <w:szCs w:val="44"/>
        </w:rPr>
        <w:t>南京技师学院“先进制造与服务”教学实训中心配套能力建设项目绩效自评价报告</w:t>
      </w:r>
    </w:p>
    <w:p>
      <w:pPr>
        <w:ind w:firstLine="640" w:firstLineChars="200"/>
        <w:rPr>
          <w:rFonts w:hint="eastAsia" w:ascii="方正黑体_GBK" w:hAnsi="黑体" w:eastAsia="方正黑体_GBK" w:cs="黑体"/>
          <w:b w:val="0"/>
          <w:bCs w:val="0"/>
          <w:sz w:val="32"/>
          <w:szCs w:val="32"/>
        </w:rPr>
      </w:pPr>
      <w:r>
        <w:rPr>
          <w:rFonts w:hint="eastAsia" w:ascii="方正黑体_GBK" w:hAnsi="黑体" w:eastAsia="方正黑体_GBK" w:cs="黑体"/>
          <w:b w:val="0"/>
          <w:bCs w:val="0"/>
          <w:sz w:val="32"/>
          <w:szCs w:val="32"/>
        </w:rPr>
        <w:t>一、项目概况</w:t>
      </w:r>
    </w:p>
    <w:p>
      <w:pPr>
        <w:ind w:firstLine="640" w:firstLineChars="200"/>
        <w:rPr>
          <w:rFonts w:hint="eastAsia" w:ascii="方正楷体_GBK" w:hAnsi="Times New Roman" w:eastAsia="方正楷体_GBK" w:cs="Times New Roman"/>
          <w:b/>
          <w:bCs/>
          <w:sz w:val="32"/>
          <w:szCs w:val="32"/>
        </w:rPr>
      </w:pPr>
      <w:r>
        <w:rPr>
          <w:rFonts w:hint="eastAsia" w:ascii="方正楷体_GBK" w:hAnsi="Times New Roman" w:eastAsia="方正楷体_GBK" w:cs="Times New Roman"/>
          <w:b/>
          <w:bCs/>
          <w:sz w:val="32"/>
          <w:szCs w:val="32"/>
        </w:rPr>
        <w:t>（一）项目基本情况</w:t>
      </w:r>
    </w:p>
    <w:p>
      <w:pPr>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近年来，江苏省及南京市经济转型、产业升级对高技能人才的数量和结构提出了新要求，学</w:t>
      </w:r>
      <w:r>
        <w:rPr>
          <w:rFonts w:hint="eastAsia" w:ascii="Times New Roman" w:hAnsi="Times New Roman" w:eastAsia="方正仿宋_GBK" w:cs="Times New Roman"/>
          <w:sz w:val="32"/>
          <w:szCs w:val="32"/>
        </w:rPr>
        <w:t>院</w:t>
      </w:r>
      <w:r>
        <w:rPr>
          <w:rFonts w:ascii="Times New Roman" w:hAnsi="Times New Roman" w:eastAsia="方正仿宋_GBK" w:cs="Times New Roman"/>
          <w:sz w:val="32"/>
          <w:szCs w:val="32"/>
        </w:rPr>
        <w:t>现有的办学空间与实训条件在一定程度上制约了办学水平和质量的提升。为坚持和加强党的领导、适应地区经济和产业发展规划、建立健全高技能人才培养机制、紧扣全省全市经济发展和产业升级步伐，学院联合上海交通大学经过多轮调研、考察与研讨，形成了《南京技师学院“先进制造与服务”教学及实训中心》规划。</w:t>
      </w:r>
    </w:p>
    <w:p>
      <w:pPr>
        <w:ind w:firstLine="640" w:firstLineChars="200"/>
        <w:rPr>
          <w:rFonts w:ascii="Times New Roman" w:hAnsi="Times New Roman" w:eastAsia="方正仿宋_GBK" w:cs="Times New Roman"/>
          <w:sz w:val="32"/>
          <w:szCs w:val="32"/>
        </w:rPr>
      </w:pPr>
      <w:r>
        <w:rPr>
          <w:rFonts w:hint="default" w:ascii="Times New Roman" w:hAnsi="Times New Roman" w:eastAsia="方正仿宋_GBK" w:cs="Times New Roman"/>
          <w:sz w:val="32"/>
          <w:szCs w:val="32"/>
        </w:rPr>
        <w:t>2020年12月，市发改委对我院“先进制造与服务”教学及实训中心配套能力建设项目（以下简称“配套能力建设项目”）予以正式批复（宁发改投资字</w:t>
      </w:r>
      <w:r>
        <w:rPr>
          <w:rFonts w:ascii="Times New Roman" w:hAnsi="Times New Roman" w:eastAsia="方正仿宋_GBK" w:cs="Times New Roman"/>
          <w:sz w:val="32"/>
          <w:szCs w:val="32"/>
        </w:rPr>
        <w:t>〔</w:t>
      </w:r>
      <w:r>
        <w:rPr>
          <w:rFonts w:hint="default" w:ascii="Times New Roman" w:hAnsi="Times New Roman" w:eastAsia="方正仿宋_GBK" w:cs="Times New Roman"/>
          <w:sz w:val="32"/>
          <w:szCs w:val="32"/>
        </w:rPr>
        <w:t>2020</w:t>
      </w:r>
      <w:r>
        <w:rPr>
          <w:rFonts w:ascii="Times New Roman" w:hAnsi="Times New Roman" w:eastAsia="方正仿宋_GBK" w:cs="Times New Roman"/>
          <w:sz w:val="32"/>
          <w:szCs w:val="32"/>
        </w:rPr>
        <w:t>〕</w:t>
      </w:r>
      <w:r>
        <w:rPr>
          <w:rFonts w:hint="default" w:ascii="Times New Roman" w:hAnsi="Times New Roman" w:eastAsia="方正仿宋_GBK" w:cs="Times New Roman"/>
          <w:sz w:val="32"/>
          <w:szCs w:val="32"/>
        </w:rPr>
        <w:t>846号），批复项目总投资680.49万元，其中工程费用566.28万元，其他费用81.81万元，预备费32.4万元，所需资金由市财政解决。该费用主要用于实训室及教室改造内容，改造装修总面积7172.3m</w:t>
      </w:r>
      <w:r>
        <w:rPr>
          <w:rFonts w:hint="default" w:ascii="Times New Roman" w:hAnsi="Times New Roman" w:eastAsia="方正仿宋_GBK" w:cs="Times New Roman"/>
          <w:sz w:val="32"/>
          <w:szCs w:val="32"/>
          <w:vertAlign w:val="superscript"/>
        </w:rPr>
        <w:t>2</w:t>
      </w:r>
      <w:r>
        <w:rPr>
          <w:rFonts w:hint="default" w:ascii="Times New Roman" w:hAnsi="Times New Roman" w:eastAsia="方正仿宋_GBK" w:cs="Times New Roman"/>
          <w:sz w:val="32"/>
          <w:szCs w:val="32"/>
        </w:rPr>
        <w:t>,中实训教室4269.36m</w:t>
      </w:r>
      <w:r>
        <w:rPr>
          <w:rFonts w:hint="default" w:ascii="Times New Roman" w:hAnsi="Times New Roman" w:eastAsia="方正仿宋_GBK" w:cs="Times New Roman"/>
          <w:sz w:val="32"/>
          <w:szCs w:val="32"/>
          <w:vertAlign w:val="superscript"/>
        </w:rPr>
        <w:t>2</w:t>
      </w:r>
      <w:r>
        <w:rPr>
          <w:rFonts w:hint="default" w:ascii="Times New Roman" w:hAnsi="Times New Roman" w:eastAsia="方正仿宋_GBK" w:cs="Times New Roman"/>
          <w:sz w:val="32"/>
          <w:szCs w:val="32"/>
        </w:rPr>
        <w:t>，普通教室654.77m</w:t>
      </w:r>
      <w:r>
        <w:rPr>
          <w:rFonts w:hint="default" w:ascii="Times New Roman" w:hAnsi="Times New Roman" w:eastAsia="方正仿宋_GBK" w:cs="Times New Roman"/>
          <w:sz w:val="32"/>
          <w:szCs w:val="32"/>
          <w:vertAlign w:val="superscript"/>
        </w:rPr>
        <w:t>2</w:t>
      </w:r>
      <w:r>
        <w:rPr>
          <w:rFonts w:hint="default" w:ascii="Times New Roman" w:hAnsi="Times New Roman" w:eastAsia="方正仿宋_GBK" w:cs="Times New Roman"/>
          <w:sz w:val="32"/>
          <w:szCs w:val="32"/>
        </w:rPr>
        <w:t>，讨论室、准备间635.67m</w:t>
      </w:r>
      <w:r>
        <w:rPr>
          <w:rFonts w:hint="default" w:ascii="Times New Roman" w:hAnsi="Times New Roman" w:eastAsia="方正仿宋_GBK" w:cs="Times New Roman"/>
          <w:sz w:val="32"/>
          <w:szCs w:val="32"/>
          <w:vertAlign w:val="superscript"/>
        </w:rPr>
        <w:t>2</w:t>
      </w:r>
      <w:r>
        <w:rPr>
          <w:rFonts w:hint="default" w:ascii="Times New Roman" w:hAnsi="Times New Roman" w:eastAsia="方正仿宋_GBK" w:cs="Times New Roman"/>
          <w:sz w:val="32"/>
          <w:szCs w:val="32"/>
        </w:rPr>
        <w:t>，走廊等区域1612.5m</w:t>
      </w:r>
      <w:r>
        <w:rPr>
          <w:rFonts w:hint="default" w:ascii="Times New Roman" w:hAnsi="Times New Roman" w:eastAsia="方正仿宋_GBK" w:cs="Times New Roman"/>
          <w:sz w:val="32"/>
          <w:szCs w:val="32"/>
          <w:vertAlign w:val="superscript"/>
        </w:rPr>
        <w:t>2</w:t>
      </w:r>
      <w:r>
        <w:rPr>
          <w:rFonts w:hint="default" w:ascii="Times New Roman" w:hAnsi="Times New Roman" w:eastAsia="方正仿宋_GBK" w:cs="Times New Roman"/>
          <w:sz w:val="32"/>
          <w:szCs w:val="32"/>
        </w:rPr>
        <w:t>。具体建设内容包括拆除工程、装修改造及消防改造等。</w:t>
      </w:r>
    </w:p>
    <w:p>
      <w:pPr>
        <w:ind w:firstLine="640" w:firstLineChars="200"/>
        <w:rPr>
          <w:rFonts w:ascii="Times New Roman" w:hAnsi="Times New Roman" w:eastAsia="方正仿宋_GBK" w:cs="Times New Roman"/>
          <w:sz w:val="32"/>
          <w:szCs w:val="32"/>
        </w:rPr>
      </w:pPr>
      <w:r>
        <w:rPr>
          <w:rFonts w:hint="default" w:ascii="Times New Roman" w:hAnsi="Times New Roman" w:eastAsia="方正仿宋_GBK" w:cs="Times New Roman"/>
          <w:sz w:val="32"/>
          <w:szCs w:val="32"/>
        </w:rPr>
        <w:t>配套能力建设项目由上海交大设计院有限公司负责设计，在充分了解学院需求基础上，对教学实训中心进行深化设计。通过丰富的教学表现形式，创建一个独特而有趣的教学空间。因此在设计中，特别注重色彩与空间体块形体之间的流畅有序衔接，提升空间设计感，创建一个激发学习氛围的趣味教学空间。整体设计充满现代气息。为满足实训场所照明及学生长时间实训需求，在施工中特别安装护眼LED灯具，暖色光源更显温馨。新冠疫情给该项目实施造成诸多不利因素，通过合理规划工序，科学调配人员，参建单位互相协调配合，使得该工程顺利竣工，最终通过消防审验取得工程竣工备案证。</w:t>
      </w:r>
    </w:p>
    <w:p>
      <w:pPr>
        <w:ind w:firstLine="640" w:firstLineChars="200"/>
        <w:rPr>
          <w:rFonts w:hint="eastAsia" w:ascii="方正楷体_GBK" w:hAnsi="Times New Roman" w:eastAsia="方正楷体_GBK" w:cs="Times New Roman"/>
          <w:b/>
          <w:bCs/>
          <w:sz w:val="32"/>
          <w:szCs w:val="32"/>
        </w:rPr>
      </w:pPr>
      <w:r>
        <w:rPr>
          <w:rFonts w:hint="eastAsia" w:ascii="方正楷体_GBK" w:hAnsi="Times New Roman" w:eastAsia="方正楷体_GBK" w:cs="Times New Roman"/>
          <w:b/>
          <w:bCs/>
          <w:sz w:val="32"/>
          <w:szCs w:val="32"/>
        </w:rPr>
        <w:t>（二）项目资金情况</w:t>
      </w:r>
    </w:p>
    <w:p>
      <w:pPr>
        <w:widowControl/>
        <w:ind w:firstLine="640" w:firstLineChars="200"/>
        <w:jc w:val="left"/>
        <w:rPr>
          <w:rFonts w:ascii="Times New Roman" w:hAnsi="Times New Roman" w:eastAsia="方正仿宋_GBK" w:cs="Times New Roman"/>
        </w:rPr>
      </w:pPr>
      <w:r>
        <w:rPr>
          <w:rFonts w:hint="default" w:ascii="Times New Roman" w:hAnsi="Times New Roman" w:eastAsia="方正仿宋_GBK" w:cs="Times New Roman"/>
          <w:sz w:val="32"/>
          <w:szCs w:val="32"/>
        </w:rPr>
        <w:t>2022年度，市财政安排专项资金463万元，拨付到位463万元，资金到位100%；实际支出458.47万元，预算执行率</w:t>
      </w:r>
      <w:r>
        <w:rPr>
          <w:rFonts w:hint="eastAsia" w:ascii="Times New Roman" w:hAnsi="Times New Roman" w:eastAsia="方正仿宋_GBK" w:cs="Times New Roman"/>
          <w:sz w:val="32"/>
          <w:szCs w:val="32"/>
          <w:lang w:val="en-US" w:eastAsia="zh-CN"/>
        </w:rPr>
        <w:t>99</w:t>
      </w:r>
      <w:r>
        <w:rPr>
          <w:rFonts w:hint="default" w:ascii="Times New Roman" w:hAnsi="Times New Roman" w:eastAsia="方正仿宋_GBK" w:cs="Times New Roman"/>
          <w:sz w:val="32"/>
          <w:szCs w:val="32"/>
        </w:rPr>
        <w:t xml:space="preserve">%，资金支付结合项目开展情况和进度，按照政府采购合同约定支付。 </w:t>
      </w:r>
    </w:p>
    <w:p>
      <w:pPr>
        <w:ind w:firstLine="640" w:firstLineChars="200"/>
        <w:rPr>
          <w:rFonts w:ascii="方正楷体_GBK" w:hAnsi="Times New Roman" w:eastAsia="方正楷体_GBK" w:cs="Times New Roman"/>
          <w:b/>
          <w:bCs/>
          <w:sz w:val="32"/>
          <w:szCs w:val="32"/>
        </w:rPr>
      </w:pPr>
      <w:r>
        <w:rPr>
          <w:rFonts w:hint="default" w:ascii="方正楷体_GBK" w:hAnsi="Times New Roman" w:eastAsia="方正楷体_GBK" w:cs="Times New Roman"/>
          <w:b/>
          <w:bCs/>
          <w:sz w:val="32"/>
          <w:szCs w:val="32"/>
        </w:rPr>
        <w:t>（三）绩效目标</w:t>
      </w:r>
    </w:p>
    <w:p>
      <w:pPr>
        <w:ind w:firstLine="640" w:firstLineChars="200"/>
        <w:rPr>
          <w:rFonts w:ascii="Times New Roman" w:hAnsi="Times New Roman" w:eastAsia="方正仿宋_GBK" w:cs="Times New Roman"/>
          <w:b/>
          <w:bCs/>
          <w:sz w:val="32"/>
          <w:szCs w:val="32"/>
        </w:rPr>
      </w:pPr>
      <w:r>
        <w:rPr>
          <w:rFonts w:ascii="Times New Roman" w:hAnsi="Times New Roman" w:eastAsia="方正仿宋_GBK" w:cs="Times New Roman"/>
          <w:b/>
          <w:bCs/>
          <w:sz w:val="32"/>
          <w:szCs w:val="32"/>
        </w:rPr>
        <w:t>1</w:t>
      </w:r>
      <w:r>
        <w:rPr>
          <w:rFonts w:hint="default" w:ascii="Times New Roman" w:hAnsi="Times New Roman" w:eastAsia="方正仿宋_GBK" w:cs="Times New Roman"/>
          <w:b/>
          <w:bCs/>
          <w:sz w:val="32"/>
          <w:szCs w:val="32"/>
        </w:rPr>
        <w:t xml:space="preserve">. </w:t>
      </w:r>
      <w:r>
        <w:rPr>
          <w:rFonts w:ascii="Times New Roman" w:hAnsi="Times New Roman" w:eastAsia="方正仿宋_GBK" w:cs="Times New Roman"/>
          <w:b/>
          <w:bCs/>
          <w:sz w:val="32"/>
          <w:szCs w:val="32"/>
        </w:rPr>
        <w:t>绩效总目标</w:t>
      </w:r>
      <w:r>
        <w:rPr>
          <w:rFonts w:hint="default" w:ascii="Times New Roman" w:hAnsi="Times New Roman" w:eastAsia="方正仿宋_GBK" w:cs="Times New Roman"/>
          <w:b/>
          <w:bCs/>
          <w:sz w:val="32"/>
          <w:szCs w:val="32"/>
        </w:rPr>
        <w:t>：</w:t>
      </w:r>
    </w:p>
    <w:p>
      <w:pPr>
        <w:ind w:firstLine="640" w:firstLineChars="200"/>
        <w:rPr>
          <w:rFonts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（1）项目实施规范。</w:t>
      </w:r>
      <w:r>
        <w:rPr>
          <w:rFonts w:hint="default" w:ascii="Times New Roman" w:hAnsi="Times New Roman" w:eastAsia="方正仿宋_GBK" w:cs="Times New Roman"/>
          <w:sz w:val="32"/>
          <w:szCs w:val="32"/>
        </w:rPr>
        <w:t>该项目为市发改委审批重点项目，学院严格按照项目审批要求及学院内控制度推进项目实施。严谨细致抓好工程管理，设计、招标、资金支付、施工、审计、验收等各环节工作。</w:t>
      </w:r>
    </w:p>
    <w:p>
      <w:pPr>
        <w:ind w:firstLine="640" w:firstLineChars="200"/>
        <w:rPr>
          <w:rFonts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（2）项目资金支出规范。</w:t>
      </w:r>
      <w:r>
        <w:rPr>
          <w:rFonts w:hint="default" w:ascii="Times New Roman" w:hAnsi="Times New Roman" w:eastAsia="方正仿宋_GBK" w:cs="Times New Roman"/>
          <w:sz w:val="32"/>
          <w:szCs w:val="32"/>
        </w:rPr>
        <w:t>项目服务单位及工程施工单位资金支付均按合同、经监理、审计审核，报请学院党委会批准后支付，支付行为规范。</w:t>
      </w:r>
    </w:p>
    <w:p>
      <w:pPr>
        <w:ind w:firstLine="640" w:firstLineChars="200"/>
        <w:rPr>
          <w:rFonts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（3）项目施工文明安全。</w:t>
      </w:r>
      <w:r>
        <w:rPr>
          <w:rFonts w:hint="default" w:ascii="Times New Roman" w:hAnsi="Times New Roman" w:eastAsia="方正仿宋_GBK" w:cs="Times New Roman"/>
          <w:sz w:val="32"/>
          <w:szCs w:val="32"/>
        </w:rPr>
        <w:t>安全是底线，发生安全事故将对整个项目造成及其严重的影响。在项目实施过程中，通过定期检查、安全提醒等方式，避免了安全事故的出现。</w:t>
      </w:r>
    </w:p>
    <w:p>
      <w:pPr>
        <w:ind w:firstLine="640" w:firstLineChars="200"/>
        <w:rPr>
          <w:rFonts w:ascii="Times New Roman" w:hAnsi="Times New Roman" w:eastAsia="方正仿宋_GBK" w:cs="Times New Roman"/>
          <w:b/>
          <w:bCs/>
          <w:sz w:val="32"/>
          <w:szCs w:val="32"/>
        </w:rPr>
      </w:pPr>
      <w:r>
        <w:rPr>
          <w:rFonts w:ascii="Times New Roman" w:hAnsi="Times New Roman" w:eastAsia="方正仿宋_GBK" w:cs="Times New Roman"/>
          <w:b/>
          <w:bCs/>
          <w:sz w:val="32"/>
          <w:szCs w:val="32"/>
        </w:rPr>
        <w:t>2</w:t>
      </w:r>
      <w:r>
        <w:rPr>
          <w:rFonts w:hint="default" w:ascii="Times New Roman" w:hAnsi="Times New Roman" w:eastAsia="方正仿宋_GBK" w:cs="Times New Roman"/>
          <w:b/>
          <w:bCs/>
          <w:sz w:val="32"/>
          <w:szCs w:val="32"/>
        </w:rPr>
        <w:t xml:space="preserve">. </w:t>
      </w:r>
      <w:r>
        <w:rPr>
          <w:rFonts w:ascii="Times New Roman" w:hAnsi="Times New Roman" w:eastAsia="方正仿宋_GBK" w:cs="Times New Roman"/>
          <w:b/>
          <w:bCs/>
          <w:sz w:val="32"/>
          <w:szCs w:val="32"/>
        </w:rPr>
        <w:t>年度目标</w:t>
      </w:r>
      <w:r>
        <w:rPr>
          <w:rFonts w:hint="default" w:ascii="Times New Roman" w:hAnsi="Times New Roman" w:eastAsia="方正仿宋_GBK" w:cs="Times New Roman"/>
          <w:b/>
          <w:bCs/>
          <w:sz w:val="32"/>
          <w:szCs w:val="32"/>
        </w:rPr>
        <w:t>：</w:t>
      </w:r>
    </w:p>
    <w:p>
      <w:pPr>
        <w:ind w:firstLine="640" w:firstLineChars="200"/>
        <w:rPr>
          <w:rFonts w:ascii="Times New Roman" w:hAnsi="Times New Roman" w:eastAsia="方正仿宋_GBK" w:cs="Times New Roman"/>
          <w:sz w:val="32"/>
          <w:szCs w:val="32"/>
        </w:rPr>
      </w:pPr>
      <w:r>
        <w:rPr>
          <w:rFonts w:hint="default" w:ascii="Times New Roman" w:hAnsi="Times New Roman" w:eastAsia="方正仿宋_GBK" w:cs="Times New Roman"/>
          <w:sz w:val="32"/>
          <w:szCs w:val="32"/>
        </w:rPr>
        <w:t>（1）完成施工单位及其他配套服务单位招标工作，按计划推进项目实施。</w:t>
      </w:r>
    </w:p>
    <w:p>
      <w:pPr>
        <w:ind w:firstLine="640" w:firstLineChars="200"/>
        <w:rPr>
          <w:rFonts w:ascii="Times New Roman" w:hAnsi="Times New Roman" w:eastAsia="方正仿宋_GBK" w:cs="Times New Roman"/>
          <w:sz w:val="32"/>
          <w:szCs w:val="32"/>
        </w:rPr>
      </w:pPr>
      <w:r>
        <w:rPr>
          <w:rFonts w:hint="default" w:ascii="Times New Roman" w:hAnsi="Times New Roman" w:eastAsia="方正仿宋_GBK" w:cs="Times New Roman"/>
          <w:sz w:val="32"/>
          <w:szCs w:val="32"/>
        </w:rPr>
        <w:t>（2）完善项目开工前的各项准备工作，办理施工许可。</w:t>
      </w:r>
    </w:p>
    <w:p>
      <w:pPr>
        <w:ind w:firstLine="640" w:firstLineChars="200"/>
        <w:rPr>
          <w:rFonts w:ascii="Times New Roman" w:hAnsi="Times New Roman" w:eastAsia="方正仿宋_GBK" w:cs="Times New Roman"/>
          <w:sz w:val="32"/>
          <w:szCs w:val="32"/>
        </w:rPr>
      </w:pPr>
      <w:r>
        <w:rPr>
          <w:rFonts w:hint="default" w:ascii="Times New Roman" w:hAnsi="Times New Roman" w:eastAsia="方正仿宋_GBK" w:cs="Times New Roman"/>
          <w:sz w:val="32"/>
          <w:szCs w:val="32"/>
        </w:rPr>
        <w:t>（3）加强施工安全管控，确保项目无安全责任事故发生。</w:t>
      </w:r>
    </w:p>
    <w:p>
      <w:pPr>
        <w:ind w:firstLine="640" w:firstLineChars="200"/>
        <w:rPr>
          <w:rFonts w:ascii="Times New Roman" w:hAnsi="Times New Roman" w:eastAsia="方正仿宋_GBK" w:cs="Times New Roman"/>
          <w:sz w:val="32"/>
          <w:szCs w:val="32"/>
        </w:rPr>
      </w:pPr>
      <w:r>
        <w:rPr>
          <w:rFonts w:hint="default" w:ascii="Times New Roman" w:hAnsi="Times New Roman" w:eastAsia="方正仿宋_GBK" w:cs="Times New Roman"/>
          <w:sz w:val="32"/>
          <w:szCs w:val="32"/>
        </w:rPr>
        <w:t>（4）按计划，保质保量完成项目竣工验收。</w:t>
      </w:r>
    </w:p>
    <w:p>
      <w:pPr>
        <w:ind w:firstLine="640" w:firstLineChars="200"/>
        <w:rPr>
          <w:rFonts w:hint="eastAsia" w:ascii="方正黑体_GBK" w:hAnsi="Times New Roman" w:eastAsia="方正黑体_GBK" w:cs="Times New Roman"/>
          <w:b w:val="0"/>
          <w:bCs w:val="0"/>
          <w:sz w:val="32"/>
          <w:szCs w:val="32"/>
        </w:rPr>
      </w:pPr>
      <w:r>
        <w:rPr>
          <w:rFonts w:hint="eastAsia" w:ascii="方正黑体_GBK" w:hAnsi="Times New Roman" w:eastAsia="方正黑体_GBK" w:cs="Times New Roman"/>
          <w:b w:val="0"/>
          <w:bCs w:val="0"/>
          <w:sz w:val="32"/>
          <w:szCs w:val="32"/>
        </w:rPr>
        <w:t>二、评价结论</w:t>
      </w:r>
    </w:p>
    <w:p>
      <w:pPr>
        <w:ind w:firstLine="640" w:firstLineChars="200"/>
        <w:rPr>
          <w:rFonts w:hint="eastAsia" w:ascii="方正楷体_GBK" w:hAnsi="Times New Roman" w:eastAsia="方正楷体_GBK" w:cs="Times New Roman"/>
          <w:b/>
          <w:bCs/>
          <w:sz w:val="32"/>
          <w:szCs w:val="32"/>
        </w:rPr>
      </w:pPr>
      <w:r>
        <w:rPr>
          <w:rFonts w:hint="eastAsia" w:ascii="方正楷体_GBK" w:hAnsi="Times New Roman" w:eastAsia="方正楷体_GBK" w:cs="Times New Roman"/>
          <w:b/>
          <w:bCs/>
          <w:sz w:val="32"/>
          <w:szCs w:val="32"/>
        </w:rPr>
        <w:t>（一）评价对象与范围</w:t>
      </w:r>
    </w:p>
    <w:p>
      <w:pPr>
        <w:ind w:firstLine="640" w:firstLineChars="200"/>
        <w:rPr>
          <w:rFonts w:ascii="Times New Roman" w:hAnsi="Times New Roman" w:eastAsia="方正仿宋_GBK" w:cs="Times New Roman"/>
          <w:sz w:val="32"/>
          <w:szCs w:val="32"/>
        </w:rPr>
      </w:pPr>
      <w:r>
        <w:rPr>
          <w:rFonts w:hint="default" w:ascii="Times New Roman" w:hAnsi="Times New Roman" w:eastAsia="方正仿宋_GBK" w:cs="Times New Roman"/>
          <w:sz w:val="32"/>
          <w:szCs w:val="32"/>
        </w:rPr>
        <w:t>根据专项资金具体投向及实施内容，纳入本次绩效评价对象为市财政专项资金463万元。评价范围主要包括：项目实施规范性、项目资金支出规范性、项目实施完成度、项目实施安全性及项目建成后社会效益情况。</w:t>
      </w:r>
    </w:p>
    <w:p>
      <w:pPr>
        <w:ind w:firstLine="640" w:firstLineChars="200"/>
        <w:rPr>
          <w:rFonts w:ascii="Times New Roman" w:hAnsi="Times New Roman" w:eastAsia="方正仿宋_GBK" w:cs="Times New Roman"/>
          <w:sz w:val="32"/>
          <w:szCs w:val="32"/>
        </w:rPr>
      </w:pPr>
      <w:r>
        <w:rPr>
          <w:rFonts w:hint="default" w:ascii="Times New Roman" w:hAnsi="Times New Roman" w:eastAsia="方正仿宋_GBK" w:cs="Times New Roman"/>
          <w:sz w:val="32"/>
          <w:szCs w:val="32"/>
        </w:rPr>
        <w:t>评价基准日定为2022年12月31日。</w:t>
      </w:r>
    </w:p>
    <w:p>
      <w:pPr>
        <w:ind w:firstLine="640" w:firstLineChars="200"/>
        <w:rPr>
          <w:rFonts w:hint="eastAsia" w:ascii="方正楷体_GBK" w:hAnsi="Times New Roman" w:eastAsia="方正楷体_GBK" w:cs="Times New Roman"/>
          <w:b/>
          <w:bCs/>
          <w:sz w:val="32"/>
          <w:szCs w:val="32"/>
        </w:rPr>
      </w:pPr>
      <w:r>
        <w:rPr>
          <w:rFonts w:hint="eastAsia" w:ascii="方正楷体_GBK" w:hAnsi="Times New Roman" w:eastAsia="方正楷体_GBK" w:cs="Times New Roman"/>
          <w:b/>
          <w:bCs/>
          <w:sz w:val="32"/>
          <w:szCs w:val="32"/>
        </w:rPr>
        <w:t>（二）评价结论与评分结果</w:t>
      </w:r>
    </w:p>
    <w:p>
      <w:pPr>
        <w:ind w:firstLine="640" w:firstLineChars="200"/>
        <w:rPr>
          <w:rFonts w:ascii="Times New Roman" w:hAnsi="Times New Roman" w:eastAsia="方正仿宋_GBK" w:cs="Times New Roman"/>
          <w:sz w:val="32"/>
          <w:szCs w:val="32"/>
        </w:rPr>
      </w:pPr>
      <w:r>
        <w:rPr>
          <w:rFonts w:hint="default" w:ascii="Times New Roman" w:hAnsi="Times New Roman" w:eastAsia="方正仿宋_GBK" w:cs="Times New Roman"/>
          <w:sz w:val="32"/>
          <w:szCs w:val="32"/>
        </w:rPr>
        <w:t>经实施评价程序，从整体上看，本单位负责的项目管理规范，监督到位，政策执行较好，发挥了财政资金的使用效能，绩效目标达标良好，项目的建成使用增加了学生实训场地面积，改善了实训条件，为学院教育教学高质量发展提供基础性保障。根据专项资金预算执行涉及到的资料及相关凭证，在全面整理分析的基础上，经过对项目决策方面（项目立项、绩效目标、资金投入）、项目过程方面（资金管理、组织实施）、项目产出及项目效益、满意度等方面多元分析，按照“财政专项资金绩效评价指标体系”进行综合评价，本项目综合得分9</w:t>
      </w:r>
      <w:r>
        <w:rPr>
          <w:rFonts w:hint="eastAsia" w:ascii="Times New Roman" w:hAnsi="Times New Roman" w:eastAsia="方正仿宋_GBK" w:cs="Times New Roman"/>
          <w:sz w:val="32"/>
          <w:szCs w:val="32"/>
          <w:lang w:val="en-US" w:eastAsia="zh-CN"/>
        </w:rPr>
        <w:t>8.9</w:t>
      </w:r>
      <w:r>
        <w:rPr>
          <w:rFonts w:hint="default" w:ascii="Times New Roman" w:hAnsi="Times New Roman" w:eastAsia="方正仿宋_GBK" w:cs="Times New Roman"/>
          <w:sz w:val="32"/>
          <w:szCs w:val="32"/>
        </w:rPr>
        <w:t>分（详见附件），评价等次为“优”。</w:t>
      </w:r>
    </w:p>
    <w:p>
      <w:pPr>
        <w:ind w:firstLine="640" w:firstLineChars="200"/>
        <w:rPr>
          <w:rFonts w:hint="eastAsia" w:ascii="方正黑体_GBK" w:hAnsi="Times New Roman" w:eastAsia="方正黑体_GBK" w:cs="Times New Roman"/>
          <w:b w:val="0"/>
          <w:bCs w:val="0"/>
          <w:sz w:val="32"/>
          <w:szCs w:val="32"/>
        </w:rPr>
      </w:pPr>
      <w:r>
        <w:rPr>
          <w:rFonts w:hint="eastAsia" w:ascii="方正黑体_GBK" w:hAnsi="Times New Roman" w:eastAsia="方正黑体_GBK" w:cs="Times New Roman"/>
          <w:b w:val="0"/>
          <w:bCs w:val="0"/>
          <w:sz w:val="32"/>
          <w:szCs w:val="32"/>
        </w:rPr>
        <w:t>三、项目做法及成效</w:t>
      </w:r>
    </w:p>
    <w:p>
      <w:pPr>
        <w:pStyle w:val="6"/>
        <w:widowControl/>
        <w:ind w:firstLine="640" w:firstLineChars="200"/>
        <w:textAlignment w:val="baseline"/>
        <w:rPr>
          <w:rFonts w:ascii="Times New Roman" w:hAnsi="Times New Roman" w:eastAsia="方正仿宋_GBK" w:cs="Times New Roman"/>
          <w:b/>
          <w:bCs/>
          <w:sz w:val="32"/>
          <w:szCs w:val="32"/>
        </w:rPr>
      </w:pPr>
      <w:r>
        <w:rPr>
          <w:rFonts w:hint="default" w:ascii="Times New Roman" w:hAnsi="Times New Roman" w:eastAsia="方正仿宋_GBK" w:cs="Times New Roman"/>
          <w:sz w:val="32"/>
          <w:szCs w:val="32"/>
        </w:rPr>
        <w:t>配套能力建设项目的顺利实施，建成并投入使用，为学院教学实训提供了基础性场地设施保障，助力培养人才、学院高质量发展起到保障性作用，意义重大。</w:t>
      </w:r>
    </w:p>
    <w:p>
      <w:pPr>
        <w:pStyle w:val="6"/>
        <w:widowControl/>
        <w:ind w:firstLine="640" w:firstLineChars="200"/>
        <w:textAlignment w:val="baseline"/>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 xml:space="preserve">1. </w:t>
      </w:r>
      <w:r>
        <w:rPr>
          <w:rFonts w:hint="default" w:ascii="Times New Roman" w:hAnsi="Times New Roman" w:eastAsia="方正仿宋_GBK" w:cs="Times New Roman"/>
          <w:b/>
          <w:bCs/>
          <w:color w:val="000000"/>
          <w:sz w:val="32"/>
          <w:szCs w:val="32"/>
        </w:rPr>
        <w:t>充分调研科学决策，首次采用新的工程管理模式。</w:t>
      </w:r>
      <w:r>
        <w:rPr>
          <w:rFonts w:hint="default" w:ascii="Times New Roman" w:hAnsi="Times New Roman" w:eastAsia="方正仿宋_GBK" w:cs="Times New Roman"/>
          <w:color w:val="000000"/>
          <w:sz w:val="32"/>
          <w:szCs w:val="32"/>
        </w:rPr>
        <w:t>项目实施之初，通过</w:t>
      </w:r>
      <w:r>
        <w:rPr>
          <w:rFonts w:ascii="Times New Roman" w:hAnsi="Times New Roman" w:eastAsia="方正仿宋_GBK" w:cs="Times New Roman"/>
          <w:color w:val="000000"/>
          <w:sz w:val="32"/>
          <w:szCs w:val="32"/>
        </w:rPr>
        <w:t>调研，</w:t>
      </w:r>
      <w:r>
        <w:rPr>
          <w:rFonts w:hint="default" w:ascii="Times New Roman" w:hAnsi="Times New Roman" w:eastAsia="方正仿宋_GBK" w:cs="Times New Roman"/>
          <w:color w:val="000000"/>
          <w:sz w:val="32"/>
          <w:szCs w:val="32"/>
        </w:rPr>
        <w:t>认为</w:t>
      </w:r>
      <w:r>
        <w:rPr>
          <w:rFonts w:ascii="Times New Roman" w:hAnsi="Times New Roman" w:eastAsia="方正仿宋_GBK" w:cs="Times New Roman"/>
          <w:color w:val="000000"/>
          <w:sz w:val="32"/>
          <w:szCs w:val="32"/>
        </w:rPr>
        <w:t>本项目将后</w:t>
      </w:r>
      <w:r>
        <w:rPr>
          <w:rFonts w:hint="default" w:ascii="Times New Roman" w:hAnsi="Times New Roman" w:eastAsia="方正仿宋_GBK" w:cs="Times New Roman"/>
          <w:color w:val="000000"/>
          <w:sz w:val="32"/>
          <w:szCs w:val="32"/>
        </w:rPr>
        <w:t>期</w:t>
      </w:r>
      <w:r>
        <w:rPr>
          <w:rFonts w:ascii="Times New Roman" w:hAnsi="Times New Roman" w:eastAsia="方正仿宋_GBK" w:cs="Times New Roman"/>
          <w:color w:val="000000"/>
          <w:sz w:val="32"/>
          <w:szCs w:val="32"/>
        </w:rPr>
        <w:t>需实施的设计、监理、造价、招标代理等单位的招标连同本次开展的项目管理招标合并为全过程工程咨询服务招标</w:t>
      </w:r>
      <w:r>
        <w:rPr>
          <w:rFonts w:hint="default" w:ascii="Times New Roman" w:hAnsi="Times New Roman" w:eastAsia="方正仿宋_GBK" w:cs="Times New Roman"/>
          <w:color w:val="000000"/>
          <w:sz w:val="32"/>
          <w:szCs w:val="32"/>
        </w:rPr>
        <w:t>，将有助于降低项目管理沟通协调成本，提高服务效率，非常契合我院中心建设实际需求。</w:t>
      </w:r>
    </w:p>
    <w:p>
      <w:pPr>
        <w:pStyle w:val="6"/>
        <w:widowControl/>
        <w:ind w:firstLine="640" w:firstLineChars="200"/>
        <w:textAlignment w:val="baseline"/>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 xml:space="preserve">2. </w:t>
      </w:r>
      <w:r>
        <w:rPr>
          <w:rFonts w:hint="default" w:ascii="Times New Roman" w:hAnsi="Times New Roman" w:eastAsia="方正仿宋_GBK" w:cs="Times New Roman"/>
          <w:b/>
          <w:bCs/>
          <w:color w:val="000000"/>
          <w:sz w:val="32"/>
          <w:szCs w:val="32"/>
        </w:rPr>
        <w:t>按照规范及程序，有序推进项目实施。</w:t>
      </w:r>
      <w:r>
        <w:rPr>
          <w:rFonts w:hint="default" w:ascii="Times New Roman" w:hAnsi="Times New Roman" w:eastAsia="方正仿宋_GBK" w:cs="Times New Roman"/>
          <w:color w:val="000000"/>
          <w:sz w:val="32"/>
          <w:szCs w:val="32"/>
        </w:rPr>
        <w:t>项目按照发改委要求，对项目涉及施工、服务等单位，采取公开招标，使得项目招标透明公正公开。</w:t>
      </w:r>
      <w:r>
        <w:rPr>
          <w:rFonts w:hint="eastAsia" w:ascii="Times New Roman" w:hAnsi="Times New Roman" w:eastAsia="方正仿宋_GBK" w:cs="Times New Roman"/>
          <w:color w:val="000000"/>
          <w:sz w:val="32"/>
          <w:szCs w:val="32"/>
          <w:lang w:eastAsia="zh-CN"/>
        </w:rPr>
        <w:t>项目建设</w:t>
      </w:r>
      <w:r>
        <w:rPr>
          <w:rFonts w:hint="default" w:ascii="Times New Roman" w:hAnsi="Times New Roman" w:eastAsia="方正仿宋_GBK" w:cs="Times New Roman"/>
          <w:color w:val="000000"/>
          <w:sz w:val="32"/>
          <w:szCs w:val="32"/>
        </w:rPr>
        <w:t>全过程</w:t>
      </w:r>
      <w:r>
        <w:rPr>
          <w:rFonts w:hint="eastAsia" w:ascii="Times New Roman" w:hAnsi="Times New Roman" w:eastAsia="方正仿宋_GBK" w:cs="Times New Roman"/>
          <w:color w:val="000000"/>
          <w:sz w:val="32"/>
          <w:szCs w:val="32"/>
          <w:lang w:eastAsia="zh-CN"/>
        </w:rPr>
        <w:t>规范管理</w:t>
      </w:r>
      <w:r>
        <w:rPr>
          <w:rFonts w:hint="default" w:ascii="Times New Roman" w:hAnsi="Times New Roman" w:eastAsia="方正仿宋_GBK" w:cs="Times New Roman"/>
          <w:color w:val="000000"/>
          <w:sz w:val="32"/>
          <w:szCs w:val="32"/>
        </w:rPr>
        <w:t>，从施</w:t>
      </w:r>
      <w:r>
        <w:rPr>
          <w:rFonts w:hint="default" w:ascii="Times New Roman" w:hAnsi="Times New Roman" w:eastAsia="方正仿宋_GBK" w:cs="Times New Roman"/>
          <w:sz w:val="32"/>
          <w:szCs w:val="32"/>
        </w:rPr>
        <w:t>工图纸审核、施工</w:t>
      </w:r>
      <w:r>
        <w:rPr>
          <w:rFonts w:hint="default" w:ascii="Times New Roman" w:hAnsi="Times New Roman" w:eastAsia="方正仿宋_GBK" w:cs="Times New Roman"/>
          <w:color w:val="000000"/>
          <w:sz w:val="32"/>
          <w:szCs w:val="32"/>
        </w:rPr>
        <w:t>许可证办理、建设工程消防设计审查等一系列审批流程，项目竣工验收后，直至取得项目消防验收合格意见书及工程竣工备案证，均按规定程序执行。</w:t>
      </w:r>
      <w:r>
        <w:rPr>
          <w:rFonts w:hint="default" w:ascii="Times New Roman" w:hAnsi="Times New Roman" w:eastAsia="方正仿宋_GBK" w:cs="Times New Roman"/>
          <w:sz w:val="32"/>
          <w:szCs w:val="32"/>
        </w:rPr>
        <w:t>施工单位招标采购项目在市公共资源交易中心挂网招标，但先后因中标候选人有关投诉问题产生三次流标。学院主要负责同志</w:t>
      </w:r>
      <w:r>
        <w:rPr>
          <w:rFonts w:hint="eastAsia" w:ascii="Times New Roman" w:hAnsi="Times New Roman" w:eastAsia="方正仿宋_GBK" w:cs="Times New Roman"/>
          <w:sz w:val="32"/>
          <w:szCs w:val="32"/>
          <w:lang w:eastAsia="zh-CN"/>
        </w:rPr>
        <w:t>先后二次</w:t>
      </w:r>
      <w:r>
        <w:rPr>
          <w:rFonts w:hint="default" w:ascii="Times New Roman" w:hAnsi="Times New Roman" w:eastAsia="方正仿宋_GBK" w:cs="Times New Roman"/>
          <w:sz w:val="32"/>
          <w:szCs w:val="32"/>
        </w:rPr>
        <w:t>前往南京市住建委进行政策咨询，并结合招标代理意见建议，学院严格按相关法规及学院内控制度，经充分讨论后实施。</w:t>
      </w:r>
    </w:p>
    <w:p>
      <w:pPr>
        <w:pStyle w:val="6"/>
        <w:widowControl/>
        <w:ind w:firstLine="640" w:firstLineChars="200"/>
        <w:textAlignment w:val="baseline"/>
        <w:rPr>
          <w:rFonts w:ascii="Times New Roman" w:hAnsi="Times New Roman" w:eastAsia="方正仿宋_GBK" w:cs="Times New Roman"/>
          <w:b/>
          <w:bCs/>
          <w:sz w:val="32"/>
          <w:szCs w:val="32"/>
        </w:rPr>
      </w:pPr>
      <w:r>
        <w:rPr>
          <w:rFonts w:ascii="Times New Roman" w:hAnsi="Times New Roman" w:eastAsia="方正仿宋_GBK" w:cs="Times New Roman"/>
          <w:b/>
          <w:bCs/>
          <w:sz w:val="32"/>
          <w:szCs w:val="32"/>
        </w:rPr>
        <w:t xml:space="preserve">3. </w:t>
      </w:r>
      <w:r>
        <w:rPr>
          <w:rFonts w:hint="default" w:ascii="Times New Roman" w:hAnsi="Times New Roman" w:eastAsia="方正仿宋_GBK" w:cs="Times New Roman"/>
          <w:b/>
          <w:bCs/>
          <w:color w:val="000000"/>
          <w:sz w:val="32"/>
          <w:szCs w:val="32"/>
        </w:rPr>
        <w:t>强化安全管理，确保无事故发生。</w:t>
      </w:r>
      <w:r>
        <w:rPr>
          <w:rFonts w:hint="default" w:ascii="Times New Roman" w:hAnsi="Times New Roman" w:eastAsia="方正仿宋_GBK" w:cs="Times New Roman"/>
          <w:color w:val="000000"/>
          <w:sz w:val="32"/>
          <w:szCs w:val="32"/>
        </w:rPr>
        <w:t>“安全第一，预防为主”是企业安全生产的工作方针。针对本项目在过程中存在砸墙、用电、用水等问题，极易造成安全事故发生的情况。学院管理人员同工程监理一道对施工现场进行安全性检查，对工人不戴安全帽作业等行为提出了批评教育，并要求立即整改，消除安全隐患。同时，项目加强疫情管控，通过检查入校人员核酸检测结果、苏康码，对在校人员采取每日核酸检测手段，坚决杜绝了疫情在学院的传播，保障了全院师生的健康安全及项目的顺利建成。</w:t>
      </w:r>
    </w:p>
    <w:p>
      <w:pPr>
        <w:ind w:firstLine="640" w:firstLineChars="200"/>
        <w:rPr>
          <w:rFonts w:hint="eastAsia" w:ascii="方正黑体_GBK" w:hAnsi="Times New Roman" w:eastAsia="方正黑体_GBK" w:cs="Times New Roman"/>
          <w:b w:val="0"/>
          <w:bCs w:val="0"/>
          <w:sz w:val="32"/>
          <w:szCs w:val="32"/>
        </w:rPr>
      </w:pPr>
      <w:r>
        <w:rPr>
          <w:rFonts w:hint="eastAsia" w:ascii="方正黑体_GBK" w:hAnsi="Times New Roman" w:eastAsia="方正黑体_GBK" w:cs="Times New Roman"/>
          <w:b w:val="0"/>
          <w:bCs w:val="0"/>
          <w:sz w:val="32"/>
          <w:szCs w:val="32"/>
        </w:rPr>
        <w:t>四、存在问题及原因分析</w:t>
      </w:r>
    </w:p>
    <w:p>
      <w:pPr>
        <w:spacing w:line="360" w:lineRule="auto"/>
        <w:ind w:firstLine="640" w:firstLineChars="200"/>
        <w:rPr>
          <w:rFonts w:ascii="Times New Roman" w:hAnsi="Times New Roman" w:eastAsia="方正仿宋_GBK" w:cs="Times New Roman"/>
          <w:sz w:val="32"/>
          <w:szCs w:val="32"/>
        </w:rPr>
      </w:pPr>
      <w:r>
        <w:rPr>
          <w:rFonts w:hint="default" w:ascii="Times New Roman" w:hAnsi="Times New Roman" w:eastAsia="方正仿宋_GBK" w:cs="Times New Roman"/>
          <w:sz w:val="32"/>
          <w:szCs w:val="32"/>
        </w:rPr>
        <w:t>新冠疫情的发生对</w:t>
      </w:r>
      <w:r>
        <w:rPr>
          <w:rFonts w:ascii="Times New Roman" w:hAnsi="Times New Roman" w:eastAsia="方正仿宋_GBK" w:cs="Times New Roman"/>
          <w:sz w:val="32"/>
          <w:szCs w:val="32"/>
        </w:rPr>
        <w:t>配套能力</w:t>
      </w:r>
      <w:r>
        <w:rPr>
          <w:rFonts w:hint="default" w:ascii="Times New Roman" w:hAnsi="Times New Roman" w:eastAsia="方正仿宋_GBK" w:cs="Times New Roman"/>
          <w:sz w:val="32"/>
          <w:szCs w:val="32"/>
        </w:rPr>
        <w:t>建设</w:t>
      </w:r>
      <w:r>
        <w:rPr>
          <w:rFonts w:ascii="Times New Roman" w:hAnsi="Times New Roman" w:eastAsia="方正仿宋_GBK" w:cs="Times New Roman"/>
          <w:sz w:val="32"/>
          <w:szCs w:val="32"/>
        </w:rPr>
        <w:t>项目</w:t>
      </w:r>
      <w:r>
        <w:rPr>
          <w:rFonts w:hint="default" w:ascii="Times New Roman" w:hAnsi="Times New Roman" w:eastAsia="方正仿宋_GBK" w:cs="Times New Roman"/>
          <w:sz w:val="32"/>
          <w:szCs w:val="32"/>
        </w:rPr>
        <w:t>施工招标及后续实施都产生了极大的影响。自2020年初新冠疫情横扫我国，包括建筑业在内的各行业受疫情影响严重，经济发展速度放缓。施工单位对工程类项目招投标竞争异常激烈。该项目资金有保障，项目建设难度低，建设时间较短，被建筑企业视为“香饽饽”。参与竞争企业为获取项目，互相投诉，导致项目处理投诉时间过长，客观上影响了项目的顺利实施。</w:t>
      </w:r>
    </w:p>
    <w:p>
      <w:pPr>
        <w:ind w:firstLine="640" w:firstLineChars="200"/>
        <w:rPr>
          <w:rFonts w:hint="eastAsia" w:ascii="方正黑体_GBK" w:hAnsi="Times New Roman" w:eastAsia="方正黑体_GBK" w:cs="Times New Roman"/>
          <w:b w:val="0"/>
          <w:bCs w:val="0"/>
          <w:sz w:val="32"/>
          <w:szCs w:val="32"/>
        </w:rPr>
      </w:pPr>
      <w:r>
        <w:rPr>
          <w:rFonts w:hint="eastAsia" w:ascii="方正黑体_GBK" w:hAnsi="Times New Roman" w:eastAsia="方正黑体_GBK" w:cs="Times New Roman"/>
          <w:b w:val="0"/>
          <w:bCs w:val="0"/>
          <w:sz w:val="32"/>
          <w:szCs w:val="32"/>
        </w:rPr>
        <w:t>五、有关建议</w:t>
      </w:r>
    </w:p>
    <w:p>
      <w:pPr>
        <w:spacing w:line="240" w:lineRule="auto"/>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b w:val="0"/>
          <w:bCs w:val="0"/>
          <w:sz w:val="32"/>
          <w:szCs w:val="32"/>
        </w:rPr>
        <w:t>进一步探索学院大型工程管理模式</w:t>
      </w:r>
      <w:r>
        <w:rPr>
          <w:rFonts w:hint="eastAsia" w:ascii="Times New Roman" w:hAnsi="Times New Roman" w:eastAsia="方正仿宋_GBK" w:cs="Times New Roman"/>
          <w:sz w:val="32"/>
          <w:szCs w:val="32"/>
        </w:rPr>
        <w:t>。</w:t>
      </w:r>
      <w:r>
        <w:rPr>
          <w:rFonts w:hint="default" w:ascii="Times New Roman" w:hAnsi="Times New Roman" w:eastAsia="方正仿宋_GBK" w:cs="Times New Roman"/>
          <w:sz w:val="32"/>
          <w:szCs w:val="32"/>
        </w:rPr>
        <w:t>该项目是学院工程管理第一次采用全过程管理模式，将原项目管理、监理、设计、跟审等工作合并由一家单位负责，能够有效提高工作效率，提升工程类项目建设效能。目前，省市正在对政府投资工程“集中建设”进行积极探索和实践，该模式具有管理执行力提高，政府投资效益进一步提升；技术管理团队稳定，专业化水平进一步提升；管理规范化程度提高，监管力度进一步提升等特点。学院也正在积极研究探索，将根据实施项目的特点采用新的工程管理模式。</w:t>
      </w:r>
    </w:p>
    <w:p>
      <w:pPr>
        <w:ind w:firstLine="640" w:firstLineChars="200"/>
        <w:rPr>
          <w:rFonts w:ascii="方正黑体_GBK" w:hAnsi="Times New Roman" w:eastAsia="方正黑体_GBK" w:cs="Times New Roman"/>
          <w:b w:val="0"/>
          <w:bCs w:val="0"/>
          <w:sz w:val="32"/>
          <w:szCs w:val="32"/>
        </w:rPr>
      </w:pPr>
      <w:r>
        <w:rPr>
          <w:rFonts w:hint="default" w:ascii="方正黑体_GBK" w:hAnsi="Times New Roman" w:eastAsia="方正黑体_GBK" w:cs="Times New Roman"/>
          <w:b w:val="0"/>
          <w:bCs w:val="0"/>
          <w:sz w:val="32"/>
          <w:szCs w:val="32"/>
        </w:rPr>
        <w:t>六、评价工作开展情况及其他需说明的情况</w:t>
      </w:r>
    </w:p>
    <w:p>
      <w:pPr>
        <w:widowControl/>
        <w:ind w:firstLine="620" w:firstLineChars="200"/>
        <w:jc w:val="left"/>
        <w:rPr>
          <w:rFonts w:hint="eastAsia" w:ascii="方正楷体_GBK" w:hAnsi="Times New Roman" w:eastAsia="方正楷体_GBK" w:cs="Times New Roman"/>
          <w:b/>
          <w:bCs/>
        </w:rPr>
      </w:pPr>
      <w:r>
        <w:rPr>
          <w:rFonts w:hint="eastAsia" w:ascii="方正楷体_GBK" w:hAnsi="Times New Roman" w:eastAsia="方正楷体_GBK" w:cs="Times New Roman"/>
          <w:b/>
          <w:bCs/>
          <w:color w:val="000000"/>
          <w:kern w:val="0"/>
          <w:sz w:val="31"/>
          <w:szCs w:val="31"/>
          <w:lang w:bidi="ar"/>
        </w:rPr>
        <w:t xml:space="preserve">（一）自评价工作开展情况 </w:t>
      </w:r>
    </w:p>
    <w:p>
      <w:pPr>
        <w:widowControl w:val="0"/>
        <w:ind w:firstLine="640" w:firstLineChars="200"/>
        <w:rPr>
          <w:rFonts w:ascii="Times New Roman" w:hAnsi="Times New Roman" w:eastAsia="方正仿宋_GBK" w:cs="Times New Roman"/>
        </w:rPr>
      </w:pPr>
      <w:r>
        <w:rPr>
          <w:rFonts w:ascii="Times New Roman" w:hAnsi="Times New Roman" w:eastAsia="方正仿宋_GBK" w:cs="Times New Roman"/>
          <w:b/>
          <w:bCs/>
          <w:sz w:val="32"/>
          <w:szCs w:val="32"/>
        </w:rPr>
        <w:t xml:space="preserve">1. </w:t>
      </w:r>
      <w:r>
        <w:rPr>
          <w:rFonts w:hint="default" w:ascii="Times New Roman" w:hAnsi="Times New Roman" w:eastAsia="方正仿宋_GBK" w:cs="Times New Roman"/>
          <w:b/>
          <w:bCs/>
          <w:sz w:val="32"/>
          <w:szCs w:val="32"/>
        </w:rPr>
        <w:t>自评价基本情况</w:t>
      </w:r>
      <w:r>
        <w:rPr>
          <w:rFonts w:hint="eastAsia" w:ascii="Times New Roman" w:hAnsi="Times New Roman" w:eastAsia="方正仿宋_GBK" w:cs="Times New Roman"/>
          <w:b/>
          <w:bCs/>
          <w:sz w:val="32"/>
          <w:szCs w:val="32"/>
        </w:rPr>
        <w:t>。</w:t>
      </w:r>
      <w:r>
        <w:rPr>
          <w:rFonts w:hint="default" w:ascii="Times New Roman" w:hAnsi="Times New Roman" w:eastAsia="方正仿宋_GBK" w:cs="Times New Roman"/>
          <w:color w:val="000000"/>
          <w:sz w:val="32"/>
          <w:szCs w:val="32"/>
        </w:rPr>
        <w:t>本次绩效自评价对象是</w:t>
      </w:r>
      <w:r>
        <w:rPr>
          <w:rFonts w:ascii="Times New Roman" w:hAnsi="Times New Roman" w:eastAsia="方正仿宋_GBK" w:cs="Times New Roman"/>
          <w:color w:val="000000"/>
          <w:sz w:val="32"/>
          <w:szCs w:val="32"/>
        </w:rPr>
        <w:t>202</w:t>
      </w:r>
      <w:r>
        <w:rPr>
          <w:rFonts w:hint="default" w:ascii="Times New Roman" w:hAnsi="Times New Roman" w:eastAsia="方正仿宋_GBK" w:cs="Times New Roman"/>
          <w:color w:val="000000"/>
          <w:sz w:val="32"/>
          <w:szCs w:val="32"/>
        </w:rPr>
        <w:t>2年度南京技师学院“先进制造与服务”教学实训中心配套能力建设项目资金预算绩效。目的是通过开展绩效自评价，促进专项资金预算绩效管理水平。评价坚持科学规范、客观公正的原则。绩效评价指标体系由决策、过程、产出、效益指标四部分组成。</w:t>
      </w:r>
      <w:r>
        <w:rPr>
          <w:rFonts w:hint="default" w:ascii="Times New Roman" w:hAnsi="Times New Roman" w:eastAsia="方正仿宋_GBK" w:cs="Times New Roman"/>
          <w:color w:val="000000"/>
          <w:kern w:val="0"/>
          <w:sz w:val="31"/>
          <w:szCs w:val="31"/>
          <w:lang w:bidi="ar"/>
        </w:rPr>
        <w:t xml:space="preserve"> </w:t>
      </w:r>
    </w:p>
    <w:p>
      <w:pPr>
        <w:widowControl w:val="0"/>
        <w:ind w:firstLine="640"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b/>
          <w:bCs/>
          <w:sz w:val="32"/>
          <w:szCs w:val="32"/>
        </w:rPr>
        <w:t xml:space="preserve">2. </w:t>
      </w:r>
      <w:r>
        <w:rPr>
          <w:rFonts w:hint="default" w:ascii="Times New Roman" w:hAnsi="Times New Roman" w:eastAsia="方正仿宋_GBK" w:cs="Times New Roman"/>
          <w:b/>
          <w:bCs/>
          <w:sz w:val="32"/>
          <w:szCs w:val="32"/>
        </w:rPr>
        <w:t>自评价实施情况</w:t>
      </w:r>
      <w:r>
        <w:rPr>
          <w:rFonts w:hint="eastAsia" w:ascii="Times New Roman" w:hAnsi="Times New Roman" w:eastAsia="方正仿宋_GBK" w:cs="Times New Roman"/>
          <w:b/>
          <w:bCs/>
          <w:sz w:val="32"/>
          <w:szCs w:val="32"/>
        </w:rPr>
        <w:t>。</w:t>
      </w:r>
      <w:r>
        <w:rPr>
          <w:rFonts w:hint="default" w:ascii="Times New Roman" w:hAnsi="Times New Roman" w:eastAsia="方正仿宋_GBK" w:cs="Times New Roman"/>
          <w:color w:val="000000"/>
          <w:sz w:val="32"/>
          <w:szCs w:val="32"/>
        </w:rPr>
        <w:t xml:space="preserve">本次自评价包括调研沟通、收集评价资料、确定指标体系、 明确绩效评价方法、形成评价方案、对照体系评分、撰写评价报告等步骤。 </w:t>
      </w:r>
    </w:p>
    <w:p>
      <w:pPr>
        <w:widowControl/>
        <w:ind w:firstLine="640" w:firstLineChars="200"/>
        <w:rPr>
          <w:rFonts w:ascii="Times New Roman" w:hAnsi="Times New Roman" w:eastAsia="方正仿宋_GBK" w:cs="Times New Roman"/>
        </w:rPr>
      </w:pPr>
      <w:r>
        <w:rPr>
          <w:rFonts w:hint="default" w:ascii="Times New Roman" w:hAnsi="Times New Roman" w:eastAsia="方正仿宋_GBK" w:cs="Times New Roman"/>
          <w:color w:val="000000"/>
          <w:sz w:val="32"/>
          <w:szCs w:val="32"/>
        </w:rPr>
        <w:t>指标体系选取有代表性、且能代表专项资金绩效的核心指标，指标的评分根据各项指标在评价体系中的重要程度确定。绩效评价结果实施百分制和四级分类：等级为优、良、中、差。</w:t>
      </w:r>
      <w:r>
        <w:rPr>
          <w:rFonts w:hint="default" w:ascii="Times New Roman" w:hAnsi="Times New Roman" w:eastAsia="方正仿宋_GBK" w:cs="Times New Roman"/>
          <w:color w:val="000000"/>
          <w:kern w:val="0"/>
          <w:sz w:val="31"/>
          <w:szCs w:val="31"/>
          <w:lang w:bidi="ar"/>
        </w:rPr>
        <w:t xml:space="preserve"> </w:t>
      </w:r>
    </w:p>
    <w:p>
      <w:pPr>
        <w:widowControl/>
        <w:ind w:firstLine="620" w:firstLineChars="200"/>
        <w:jc w:val="left"/>
        <w:rPr>
          <w:rFonts w:ascii="方正楷体_GBK" w:hAnsi="Times New Roman" w:eastAsia="方正楷体_GBK" w:cs="Times New Roman"/>
          <w:b/>
          <w:bCs/>
          <w:color w:val="000000"/>
          <w:kern w:val="0"/>
          <w:sz w:val="31"/>
          <w:szCs w:val="31"/>
          <w:lang w:bidi="ar"/>
        </w:rPr>
      </w:pPr>
      <w:r>
        <w:rPr>
          <w:rFonts w:ascii="方正楷体_GBK" w:hAnsi="Times New Roman" w:eastAsia="方正楷体_GBK" w:cs="Times New Roman"/>
          <w:b/>
          <w:bCs/>
          <w:color w:val="000000"/>
          <w:kern w:val="0"/>
          <w:sz w:val="31"/>
          <w:szCs w:val="31"/>
          <w:lang w:bidi="ar"/>
        </w:rPr>
        <w:t xml:space="preserve">（二）其他需要说明的地方 </w:t>
      </w:r>
    </w:p>
    <w:p>
      <w:pPr>
        <w:widowControl/>
        <w:ind w:firstLine="640" w:firstLineChars="200"/>
        <w:jc w:val="left"/>
        <w:rPr>
          <w:rFonts w:ascii="Times New Roman" w:hAnsi="Times New Roman" w:eastAsia="方正仿宋_GBK" w:cs="Times New Roman"/>
          <w:color w:val="000000"/>
          <w:kern w:val="0"/>
          <w:sz w:val="31"/>
          <w:szCs w:val="31"/>
          <w:lang w:bidi="ar"/>
        </w:rPr>
      </w:pPr>
      <w:r>
        <w:rPr>
          <w:rFonts w:hint="default" w:ascii="Times New Roman" w:hAnsi="Times New Roman" w:eastAsia="方正仿宋_GBK" w:cs="Times New Roman"/>
          <w:color w:val="000000"/>
          <w:sz w:val="32"/>
          <w:szCs w:val="32"/>
        </w:rPr>
        <w:t>本单位无其他要说明的情况。</w:t>
      </w:r>
      <w:r>
        <w:rPr>
          <w:rFonts w:hint="default" w:ascii="Times New Roman" w:hAnsi="Times New Roman" w:eastAsia="方正仿宋_GBK" w:cs="Times New Roman"/>
          <w:color w:val="000000"/>
          <w:kern w:val="0"/>
          <w:sz w:val="31"/>
          <w:szCs w:val="31"/>
          <w:lang w:bidi="ar"/>
        </w:rPr>
        <w:t xml:space="preserve"> </w:t>
      </w:r>
    </w:p>
    <w:p>
      <w:pPr>
        <w:widowControl/>
        <w:ind w:firstLine="620" w:firstLineChars="200"/>
        <w:jc w:val="left"/>
        <w:rPr>
          <w:rFonts w:ascii="Times New Roman" w:hAnsi="Times New Roman" w:eastAsia="方正仿宋_GBK" w:cs="Times New Roman"/>
          <w:color w:val="000000"/>
          <w:kern w:val="0"/>
          <w:sz w:val="31"/>
          <w:szCs w:val="31"/>
          <w:lang w:bidi="ar"/>
        </w:rPr>
      </w:pPr>
    </w:p>
    <w:p>
      <w:pPr>
        <w:widowControl/>
        <w:ind w:firstLine="640" w:firstLineChars="200"/>
        <w:rPr>
          <w:rFonts w:ascii="Times New Roman" w:hAnsi="Times New Roman" w:eastAsia="方正仿宋_GBK" w:cs="Times New Roman"/>
          <w:color w:val="000000"/>
          <w:sz w:val="32"/>
          <w:szCs w:val="32"/>
        </w:rPr>
      </w:pPr>
      <w:r>
        <w:rPr>
          <w:rFonts w:hint="default" w:ascii="Times New Roman" w:hAnsi="Times New Roman" w:eastAsia="方正仿宋_GBK" w:cs="Times New Roman"/>
          <w:color w:val="000000"/>
          <w:sz w:val="32"/>
          <w:szCs w:val="32"/>
        </w:rPr>
        <w:t>附件：指标体系得分情况</w:t>
      </w:r>
    </w:p>
    <w:p>
      <w:pPr>
        <w:widowControl/>
        <w:ind w:firstLine="640" w:firstLineChars="200"/>
        <w:rPr>
          <w:rFonts w:ascii="Times New Roman" w:hAnsi="Times New Roman" w:eastAsia="方正仿宋_GBK" w:cs="Times New Roman"/>
          <w:color w:val="000000"/>
          <w:sz w:val="32"/>
          <w:szCs w:val="32"/>
        </w:rPr>
      </w:pPr>
    </w:p>
    <w:p>
      <w:pPr>
        <w:widowControl/>
        <w:ind w:firstLine="640" w:firstLineChars="200"/>
        <w:rPr>
          <w:rFonts w:ascii="Times New Roman" w:hAnsi="Times New Roman" w:eastAsia="方正仿宋_GBK" w:cs="Times New Roman"/>
          <w:color w:val="000000"/>
          <w:sz w:val="32"/>
          <w:szCs w:val="32"/>
        </w:rPr>
      </w:pPr>
    </w:p>
    <w:p>
      <w:pPr>
        <w:widowControl/>
        <w:ind w:right="227" w:rightChars="108" w:firstLine="640" w:firstLineChars="200"/>
        <w:jc w:val="right"/>
        <w:rPr>
          <w:rFonts w:ascii="Times New Roman" w:hAnsi="Times New Roman" w:eastAsia="方正仿宋_GBK" w:cs="Times New Roman"/>
          <w:color w:val="000000"/>
          <w:sz w:val="32"/>
          <w:szCs w:val="32"/>
        </w:rPr>
      </w:pPr>
      <w:r>
        <w:rPr>
          <w:rFonts w:hint="eastAsia" w:ascii="Times New Roman" w:hAnsi="Times New Roman" w:eastAsia="方正仿宋_GBK" w:cs="Times New Roman"/>
          <w:color w:val="000000"/>
          <w:sz w:val="32"/>
          <w:szCs w:val="32"/>
        </w:rPr>
        <w:t>南京技师学院</w:t>
      </w:r>
    </w:p>
    <w:p>
      <w:pPr>
        <w:widowControl/>
        <w:ind w:firstLine="640" w:firstLineChars="200"/>
        <w:jc w:val="right"/>
        <w:rPr>
          <w:rFonts w:hint="eastAsia" w:ascii="Times New Roman" w:hAnsi="Times New Roman" w:eastAsia="方正仿宋_GBK" w:cs="Times New Roman"/>
          <w:color w:val="000000"/>
          <w:sz w:val="32"/>
          <w:szCs w:val="32"/>
        </w:rPr>
      </w:pPr>
      <w:r>
        <w:rPr>
          <w:rFonts w:hint="eastAsia" w:ascii="Times New Roman" w:hAnsi="Times New Roman" w:eastAsia="方正仿宋_GBK" w:cs="Times New Roman"/>
          <w:color w:val="000000"/>
          <w:sz w:val="32"/>
          <w:szCs w:val="32"/>
        </w:rPr>
        <w:t>2</w:t>
      </w:r>
      <w:r>
        <w:rPr>
          <w:rFonts w:ascii="Times New Roman" w:hAnsi="Times New Roman" w:eastAsia="方正仿宋_GBK" w:cs="Times New Roman"/>
          <w:color w:val="000000"/>
          <w:sz w:val="32"/>
          <w:szCs w:val="32"/>
        </w:rPr>
        <w:t>023</w:t>
      </w:r>
      <w:r>
        <w:rPr>
          <w:rFonts w:hint="eastAsia" w:ascii="Times New Roman" w:hAnsi="Times New Roman" w:eastAsia="方正仿宋_GBK" w:cs="Times New Roman"/>
          <w:color w:val="000000"/>
          <w:sz w:val="32"/>
          <w:szCs w:val="32"/>
        </w:rPr>
        <w:t>年5月3</w:t>
      </w:r>
      <w:r>
        <w:rPr>
          <w:rFonts w:ascii="Times New Roman" w:hAnsi="Times New Roman" w:eastAsia="方正仿宋_GBK" w:cs="Times New Roman"/>
          <w:color w:val="000000"/>
          <w:sz w:val="32"/>
          <w:szCs w:val="32"/>
        </w:rPr>
        <w:t>1</w:t>
      </w:r>
      <w:r>
        <w:rPr>
          <w:rFonts w:hint="eastAsia" w:ascii="Times New Roman" w:hAnsi="Times New Roman" w:eastAsia="方正仿宋_GBK" w:cs="Times New Roman"/>
          <w:color w:val="000000"/>
          <w:sz w:val="32"/>
          <w:szCs w:val="32"/>
        </w:rPr>
        <w:t>日</w:t>
      </w:r>
    </w:p>
    <w:p>
      <w:pPr>
        <w:widowControl/>
        <w:ind w:firstLine="620" w:firstLineChars="200"/>
        <w:jc w:val="left"/>
        <w:rPr>
          <w:rFonts w:ascii="方正仿宋_GBK" w:hAnsi="方正仿宋_GBK" w:eastAsia="方正仿宋_GBK" w:cs="方正仿宋_GBK"/>
          <w:color w:val="000000"/>
          <w:kern w:val="0"/>
          <w:sz w:val="31"/>
          <w:szCs w:val="31"/>
          <w:lang w:bidi="ar"/>
        </w:rPr>
      </w:pPr>
    </w:p>
    <w:p>
      <w:pPr>
        <w:widowControl/>
        <w:ind w:firstLine="620" w:firstLineChars="200"/>
        <w:jc w:val="left"/>
        <w:rPr>
          <w:rFonts w:ascii="方正仿宋_GBK" w:hAnsi="方正仿宋_GBK" w:eastAsia="方正仿宋_GBK" w:cs="方正仿宋_GBK"/>
          <w:color w:val="000000"/>
          <w:kern w:val="0"/>
          <w:sz w:val="31"/>
          <w:szCs w:val="31"/>
          <w:lang w:bidi="ar"/>
        </w:rPr>
        <w:sectPr>
          <w:footerReference r:id="rId3" w:type="default"/>
          <w:pgSz w:w="11906" w:h="16838"/>
          <w:pgMar w:top="1701" w:right="1587" w:bottom="1361" w:left="1587" w:header="851" w:footer="992" w:gutter="0"/>
          <w:cols w:space="0" w:num="1"/>
          <w:docGrid w:type="lines" w:linePitch="316" w:charSpace="0"/>
        </w:sectPr>
      </w:pPr>
    </w:p>
    <w:p>
      <w:pPr>
        <w:rPr>
          <w:rFonts w:ascii="黑体" w:hAnsi="黑体" w:eastAsia="黑体" w:cs="黑体"/>
          <w:b/>
          <w:bCs/>
          <w:sz w:val="32"/>
          <w:szCs w:val="32"/>
        </w:rPr>
      </w:pPr>
      <w:r>
        <w:rPr>
          <w:rFonts w:hint="eastAsia" w:ascii="黑体" w:hAnsi="黑体" w:eastAsia="黑体" w:cs="黑体"/>
          <w:b/>
          <w:bCs/>
          <w:sz w:val="32"/>
          <w:szCs w:val="32"/>
        </w:rPr>
        <w:t>附件</w:t>
      </w:r>
    </w:p>
    <w:p>
      <w:pPr>
        <w:jc w:val="center"/>
        <w:rPr>
          <w:rFonts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rPr>
        <w:t>指标体系得分情况</w:t>
      </w:r>
    </w:p>
    <w:tbl>
      <w:tblPr>
        <w:tblStyle w:val="9"/>
        <w:tblW w:w="143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7"/>
        <w:gridCol w:w="2047"/>
        <w:gridCol w:w="2047"/>
        <w:gridCol w:w="1262"/>
        <w:gridCol w:w="1484"/>
        <w:gridCol w:w="4269"/>
        <w:gridCol w:w="1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2047" w:type="dxa"/>
            <w:vAlign w:val="center"/>
          </w:tcPr>
          <w:p>
            <w:pPr>
              <w:jc w:val="center"/>
              <w:rPr>
                <w:rFonts w:ascii="宋体" w:hAnsi="宋体" w:eastAsia="宋体" w:cs="楷体_GB2312"/>
                <w:b/>
                <w:bCs/>
                <w:sz w:val="24"/>
                <w:szCs w:val="24"/>
              </w:rPr>
            </w:pPr>
            <w:r>
              <w:rPr>
                <w:rFonts w:hint="eastAsia" w:ascii="宋体" w:hAnsi="宋体" w:eastAsia="宋体" w:cs="楷体_GB2312"/>
                <w:b/>
                <w:bCs/>
                <w:sz w:val="24"/>
                <w:szCs w:val="24"/>
              </w:rPr>
              <w:t>一级指标</w:t>
            </w:r>
          </w:p>
        </w:tc>
        <w:tc>
          <w:tcPr>
            <w:tcW w:w="2047" w:type="dxa"/>
            <w:vAlign w:val="center"/>
          </w:tcPr>
          <w:p>
            <w:pPr>
              <w:jc w:val="center"/>
              <w:rPr>
                <w:rFonts w:ascii="宋体" w:hAnsi="宋体" w:eastAsia="宋体" w:cs="楷体_GB2312"/>
                <w:b/>
                <w:bCs/>
                <w:sz w:val="24"/>
                <w:szCs w:val="24"/>
              </w:rPr>
            </w:pPr>
            <w:r>
              <w:rPr>
                <w:rFonts w:hint="eastAsia" w:ascii="宋体" w:hAnsi="宋体" w:eastAsia="宋体" w:cs="楷体_GB2312"/>
                <w:b/>
                <w:bCs/>
                <w:sz w:val="24"/>
                <w:szCs w:val="24"/>
              </w:rPr>
              <w:t>二级指标</w:t>
            </w:r>
          </w:p>
        </w:tc>
        <w:tc>
          <w:tcPr>
            <w:tcW w:w="2047" w:type="dxa"/>
            <w:vAlign w:val="center"/>
          </w:tcPr>
          <w:p>
            <w:pPr>
              <w:jc w:val="center"/>
              <w:rPr>
                <w:rFonts w:ascii="宋体" w:hAnsi="宋体" w:eastAsia="宋体" w:cs="楷体_GB2312"/>
                <w:b/>
                <w:bCs/>
                <w:sz w:val="24"/>
                <w:szCs w:val="24"/>
              </w:rPr>
            </w:pPr>
            <w:r>
              <w:rPr>
                <w:rFonts w:hint="eastAsia" w:ascii="宋体" w:hAnsi="宋体" w:eastAsia="宋体" w:cs="楷体_GB2312"/>
                <w:b/>
                <w:bCs/>
                <w:sz w:val="24"/>
                <w:szCs w:val="24"/>
              </w:rPr>
              <w:t>三级指标</w:t>
            </w:r>
          </w:p>
        </w:tc>
        <w:tc>
          <w:tcPr>
            <w:tcW w:w="1262" w:type="dxa"/>
            <w:vAlign w:val="center"/>
          </w:tcPr>
          <w:p>
            <w:pPr>
              <w:jc w:val="center"/>
              <w:rPr>
                <w:rFonts w:ascii="宋体" w:hAnsi="宋体" w:eastAsia="宋体" w:cs="楷体_GB2312"/>
                <w:b/>
                <w:bCs/>
                <w:sz w:val="24"/>
                <w:szCs w:val="24"/>
              </w:rPr>
            </w:pPr>
            <w:r>
              <w:rPr>
                <w:rFonts w:hint="eastAsia" w:ascii="宋体" w:hAnsi="宋体" w:eastAsia="宋体" w:cs="楷体_GB2312"/>
                <w:b/>
                <w:bCs/>
                <w:sz w:val="24"/>
                <w:szCs w:val="24"/>
              </w:rPr>
              <w:t>指标值</w:t>
            </w:r>
          </w:p>
        </w:tc>
        <w:tc>
          <w:tcPr>
            <w:tcW w:w="1484" w:type="dxa"/>
            <w:vAlign w:val="center"/>
          </w:tcPr>
          <w:p>
            <w:pPr>
              <w:jc w:val="center"/>
              <w:rPr>
                <w:rFonts w:ascii="宋体" w:hAnsi="宋体" w:eastAsia="宋体" w:cs="楷体_GB2312"/>
                <w:b/>
                <w:bCs/>
                <w:sz w:val="24"/>
                <w:szCs w:val="24"/>
              </w:rPr>
            </w:pPr>
            <w:r>
              <w:rPr>
                <w:rFonts w:hint="eastAsia" w:ascii="宋体" w:hAnsi="宋体" w:eastAsia="宋体" w:cs="楷体_GB2312"/>
                <w:b/>
                <w:bCs/>
                <w:sz w:val="24"/>
                <w:szCs w:val="24"/>
              </w:rPr>
              <w:t>分值</w:t>
            </w:r>
          </w:p>
        </w:tc>
        <w:tc>
          <w:tcPr>
            <w:tcW w:w="4269" w:type="dxa"/>
            <w:vAlign w:val="center"/>
          </w:tcPr>
          <w:p>
            <w:pPr>
              <w:jc w:val="center"/>
              <w:rPr>
                <w:rFonts w:ascii="宋体" w:hAnsi="宋体" w:eastAsia="宋体" w:cs="楷体_GB2312"/>
                <w:b/>
                <w:bCs/>
                <w:sz w:val="24"/>
                <w:szCs w:val="24"/>
              </w:rPr>
            </w:pPr>
            <w:r>
              <w:rPr>
                <w:rFonts w:hint="eastAsia" w:ascii="宋体" w:hAnsi="宋体" w:eastAsia="宋体" w:cs="楷体_GB2312"/>
                <w:b/>
                <w:bCs/>
                <w:sz w:val="24"/>
                <w:szCs w:val="24"/>
              </w:rPr>
              <w:t>评分标准</w:t>
            </w:r>
          </w:p>
        </w:tc>
        <w:tc>
          <w:tcPr>
            <w:tcW w:w="1176" w:type="dxa"/>
            <w:vAlign w:val="center"/>
          </w:tcPr>
          <w:p>
            <w:pPr>
              <w:jc w:val="center"/>
              <w:rPr>
                <w:rFonts w:ascii="宋体" w:hAnsi="宋体" w:eastAsia="宋体" w:cs="楷体_GB2312"/>
                <w:b/>
                <w:bCs/>
                <w:sz w:val="24"/>
                <w:szCs w:val="24"/>
              </w:rPr>
            </w:pPr>
            <w:r>
              <w:rPr>
                <w:rFonts w:hint="eastAsia" w:ascii="宋体" w:hAnsi="宋体" w:eastAsia="宋体" w:cs="楷体_GB2312"/>
                <w:b/>
                <w:bCs/>
                <w:sz w:val="24"/>
                <w:szCs w:val="24"/>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047" w:type="dxa"/>
            <w:vMerge w:val="restart"/>
            <w:vAlign w:val="center"/>
          </w:tcPr>
          <w:p>
            <w:pPr>
              <w:jc w:val="center"/>
              <w:rPr>
                <w:rFonts w:ascii="宋体" w:hAnsi="宋体" w:eastAsia="宋体"/>
                <w:sz w:val="24"/>
              </w:rPr>
            </w:pPr>
            <w:r>
              <w:rPr>
                <w:rFonts w:hint="eastAsia" w:ascii="宋体" w:hAnsi="宋体" w:eastAsia="宋体" w:cs="仿宋_GB2312"/>
                <w:sz w:val="24"/>
              </w:rPr>
              <w:t>决策</w:t>
            </w:r>
          </w:p>
        </w:tc>
        <w:tc>
          <w:tcPr>
            <w:tcW w:w="2047" w:type="dxa"/>
            <w:vMerge w:val="restart"/>
            <w:vAlign w:val="center"/>
          </w:tcPr>
          <w:p>
            <w:pPr>
              <w:jc w:val="center"/>
              <w:rPr>
                <w:rFonts w:ascii="宋体" w:hAnsi="宋体" w:eastAsia="宋体" w:cs="仿宋_GB2312"/>
                <w:sz w:val="24"/>
              </w:rPr>
            </w:pPr>
            <w:r>
              <w:rPr>
                <w:rFonts w:hint="eastAsia" w:ascii="宋体" w:hAnsi="宋体" w:eastAsia="宋体" w:cs="仿宋_GB2312"/>
                <w:sz w:val="24"/>
              </w:rPr>
              <w:t>项目立项</w:t>
            </w:r>
          </w:p>
        </w:tc>
        <w:tc>
          <w:tcPr>
            <w:tcW w:w="2047" w:type="dxa"/>
            <w:vAlign w:val="center"/>
          </w:tcPr>
          <w:p>
            <w:pPr>
              <w:jc w:val="center"/>
              <w:rPr>
                <w:rFonts w:ascii="宋体" w:hAnsi="宋体" w:eastAsia="宋体" w:cs="仿宋_GB2312"/>
                <w:sz w:val="24"/>
              </w:rPr>
            </w:pPr>
            <w:r>
              <w:rPr>
                <w:rFonts w:hint="eastAsia" w:ascii="宋体" w:hAnsi="宋体" w:eastAsia="宋体" w:cs="仿宋_GB2312"/>
                <w:sz w:val="24"/>
              </w:rPr>
              <w:t>立项依据充分性</w:t>
            </w:r>
          </w:p>
        </w:tc>
        <w:tc>
          <w:tcPr>
            <w:tcW w:w="1262" w:type="dxa"/>
            <w:vAlign w:val="center"/>
          </w:tcPr>
          <w:p>
            <w:pPr>
              <w:jc w:val="center"/>
              <w:rPr>
                <w:rFonts w:ascii="宋体" w:hAnsi="宋体" w:eastAsia="宋体" w:cs="方正小标宋_GBK"/>
                <w:b/>
                <w:bCs/>
                <w:sz w:val="24"/>
                <w:szCs w:val="24"/>
              </w:rPr>
            </w:pPr>
            <w:r>
              <w:rPr>
                <w:rFonts w:hint="eastAsia" w:ascii="宋体" w:hAnsi="宋体" w:eastAsia="宋体" w:cs="仿宋_GB2312"/>
                <w:sz w:val="24"/>
              </w:rPr>
              <w:t>充分</w:t>
            </w:r>
          </w:p>
        </w:tc>
        <w:tc>
          <w:tcPr>
            <w:tcW w:w="1484" w:type="dxa"/>
            <w:vAlign w:val="center"/>
          </w:tcPr>
          <w:p>
            <w:pPr>
              <w:widowControl/>
              <w:jc w:val="center"/>
              <w:textAlignment w:val="top"/>
              <w:rPr>
                <w:rFonts w:ascii="宋体" w:hAnsi="宋体" w:eastAsia="宋体" w:cs="Times New Roman"/>
                <w:b/>
                <w:bCs/>
                <w:sz w:val="24"/>
              </w:rPr>
            </w:pPr>
            <w:r>
              <w:rPr>
                <w:rFonts w:ascii="宋体" w:hAnsi="宋体" w:eastAsia="宋体" w:cs="Times New Roman"/>
                <w:color w:val="000000"/>
                <w:kern w:val="0"/>
                <w:sz w:val="24"/>
                <w:lang w:bidi="ar"/>
              </w:rPr>
              <w:t>4</w:t>
            </w:r>
          </w:p>
        </w:tc>
        <w:tc>
          <w:tcPr>
            <w:tcW w:w="4269" w:type="dxa"/>
          </w:tcPr>
          <w:p>
            <w:pPr>
              <w:rPr>
                <w:rFonts w:ascii="宋体" w:hAnsi="宋体" w:eastAsia="宋体" w:cs="Times New Roman"/>
                <w:b/>
                <w:bCs/>
                <w:sz w:val="24"/>
                <w:szCs w:val="24"/>
              </w:rPr>
            </w:pPr>
            <w:r>
              <w:rPr>
                <w:rFonts w:ascii="宋体" w:hAnsi="宋体" w:eastAsia="宋体" w:cs="Times New Roman"/>
                <w:sz w:val="24"/>
              </w:rPr>
              <w:t>立项文件依据充分、有效得</w:t>
            </w:r>
            <w:r>
              <w:rPr>
                <w:rFonts w:hint="eastAsia" w:ascii="宋体" w:hAnsi="宋体" w:eastAsia="宋体" w:cs="Times New Roman"/>
                <w:sz w:val="24"/>
              </w:rPr>
              <w:t>4</w:t>
            </w:r>
            <w:r>
              <w:rPr>
                <w:rFonts w:ascii="宋体" w:hAnsi="宋体" w:eastAsia="宋体" w:cs="Times New Roman"/>
                <w:sz w:val="24"/>
              </w:rPr>
              <w:t>分；否则不得分。</w:t>
            </w:r>
          </w:p>
        </w:tc>
        <w:tc>
          <w:tcPr>
            <w:tcW w:w="1176" w:type="dxa"/>
            <w:vAlign w:val="center"/>
          </w:tcPr>
          <w:p>
            <w:pPr>
              <w:jc w:val="center"/>
              <w:rPr>
                <w:rFonts w:ascii="宋体" w:hAnsi="宋体" w:eastAsia="宋体" w:cs="方正小标宋_GBK"/>
                <w:b/>
                <w:bCs/>
                <w:sz w:val="24"/>
                <w:szCs w:val="24"/>
              </w:rPr>
            </w:pPr>
            <w:r>
              <w:rPr>
                <w:rFonts w:hint="eastAsia" w:ascii="宋体" w:hAnsi="宋体" w:eastAsia="宋体" w:cs="Times New Roman"/>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047" w:type="dxa"/>
            <w:vMerge w:val="continue"/>
          </w:tcPr>
          <w:p>
            <w:pPr>
              <w:jc w:val="center"/>
              <w:rPr>
                <w:rFonts w:ascii="宋体" w:hAnsi="宋体" w:eastAsia="宋体"/>
                <w:sz w:val="24"/>
              </w:rPr>
            </w:pPr>
          </w:p>
        </w:tc>
        <w:tc>
          <w:tcPr>
            <w:tcW w:w="2047" w:type="dxa"/>
            <w:vMerge w:val="continue"/>
            <w:vAlign w:val="center"/>
          </w:tcPr>
          <w:p>
            <w:pPr>
              <w:jc w:val="center"/>
              <w:rPr>
                <w:rFonts w:ascii="宋体" w:hAnsi="宋体" w:eastAsia="宋体"/>
                <w:sz w:val="24"/>
              </w:rPr>
            </w:pPr>
          </w:p>
        </w:tc>
        <w:tc>
          <w:tcPr>
            <w:tcW w:w="2047" w:type="dxa"/>
            <w:vAlign w:val="center"/>
          </w:tcPr>
          <w:p>
            <w:pPr>
              <w:jc w:val="center"/>
              <w:rPr>
                <w:rFonts w:ascii="宋体" w:hAnsi="宋体" w:eastAsia="宋体" w:cs="仿宋_GB2312"/>
                <w:sz w:val="24"/>
              </w:rPr>
            </w:pPr>
            <w:r>
              <w:rPr>
                <w:rFonts w:hint="eastAsia" w:ascii="宋体" w:hAnsi="宋体" w:eastAsia="宋体" w:cs="仿宋_GB2312"/>
                <w:sz w:val="24"/>
              </w:rPr>
              <w:t>立项程序规范性</w:t>
            </w:r>
          </w:p>
        </w:tc>
        <w:tc>
          <w:tcPr>
            <w:tcW w:w="1262" w:type="dxa"/>
            <w:vAlign w:val="center"/>
          </w:tcPr>
          <w:p>
            <w:pPr>
              <w:jc w:val="center"/>
              <w:rPr>
                <w:rFonts w:ascii="宋体" w:hAnsi="宋体" w:eastAsia="宋体" w:cs="仿宋_GB2312"/>
                <w:sz w:val="24"/>
              </w:rPr>
            </w:pPr>
            <w:r>
              <w:rPr>
                <w:rFonts w:hint="eastAsia" w:ascii="宋体" w:hAnsi="宋体" w:eastAsia="宋体" w:cs="仿宋_GB2312"/>
                <w:sz w:val="24"/>
              </w:rPr>
              <w:t>规范</w:t>
            </w:r>
          </w:p>
        </w:tc>
        <w:tc>
          <w:tcPr>
            <w:tcW w:w="1484" w:type="dxa"/>
            <w:vAlign w:val="center"/>
          </w:tcPr>
          <w:p>
            <w:pPr>
              <w:widowControl/>
              <w:jc w:val="center"/>
              <w:textAlignment w:val="center"/>
              <w:rPr>
                <w:rFonts w:ascii="宋体" w:hAnsi="宋体" w:eastAsia="宋体" w:cs="Times New Roman"/>
                <w:sz w:val="24"/>
              </w:rPr>
            </w:pPr>
            <w:r>
              <w:rPr>
                <w:rFonts w:ascii="宋体" w:hAnsi="宋体" w:eastAsia="宋体" w:cs="Times New Roman"/>
                <w:color w:val="000000"/>
                <w:kern w:val="0"/>
                <w:sz w:val="24"/>
                <w:lang w:bidi="ar"/>
              </w:rPr>
              <w:t>4</w:t>
            </w:r>
          </w:p>
        </w:tc>
        <w:tc>
          <w:tcPr>
            <w:tcW w:w="4269" w:type="dxa"/>
            <w:vAlign w:val="center"/>
          </w:tcPr>
          <w:p>
            <w:pPr>
              <w:rPr>
                <w:rFonts w:ascii="宋体" w:hAnsi="宋体" w:eastAsia="宋体" w:cs="Times New Roman"/>
                <w:sz w:val="24"/>
              </w:rPr>
            </w:pPr>
            <w:r>
              <w:rPr>
                <w:rFonts w:ascii="宋体" w:hAnsi="宋体" w:eastAsia="宋体" w:cs="Times New Roman"/>
                <w:sz w:val="24"/>
              </w:rPr>
              <w:t>立项程序规范得</w:t>
            </w:r>
            <w:r>
              <w:rPr>
                <w:rFonts w:hint="eastAsia" w:ascii="宋体" w:hAnsi="宋体" w:eastAsia="宋体" w:cs="Times New Roman"/>
                <w:sz w:val="24"/>
              </w:rPr>
              <w:t>4</w:t>
            </w:r>
            <w:r>
              <w:rPr>
                <w:rFonts w:ascii="宋体" w:hAnsi="宋体" w:eastAsia="宋体" w:cs="Times New Roman"/>
                <w:sz w:val="24"/>
              </w:rPr>
              <w:t>分；否则不得分。</w:t>
            </w:r>
          </w:p>
        </w:tc>
        <w:tc>
          <w:tcPr>
            <w:tcW w:w="1176" w:type="dxa"/>
            <w:vAlign w:val="center"/>
          </w:tcPr>
          <w:p>
            <w:pPr>
              <w:jc w:val="center"/>
              <w:rPr>
                <w:rFonts w:ascii="宋体" w:hAnsi="宋体" w:eastAsia="宋体" w:cs="仿宋_GB2312"/>
                <w:sz w:val="24"/>
              </w:rPr>
            </w:pPr>
            <w:r>
              <w:rPr>
                <w:rFonts w:hint="eastAsia" w:ascii="宋体" w:hAnsi="宋体" w:eastAsia="宋体" w:cs="Times New Roman"/>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047" w:type="dxa"/>
            <w:vMerge w:val="continue"/>
          </w:tcPr>
          <w:p>
            <w:pPr>
              <w:jc w:val="center"/>
              <w:rPr>
                <w:rFonts w:ascii="宋体" w:hAnsi="宋体" w:eastAsia="宋体"/>
                <w:sz w:val="24"/>
              </w:rPr>
            </w:pPr>
          </w:p>
        </w:tc>
        <w:tc>
          <w:tcPr>
            <w:tcW w:w="2047" w:type="dxa"/>
            <w:vMerge w:val="restart"/>
            <w:vAlign w:val="center"/>
          </w:tcPr>
          <w:p>
            <w:pPr>
              <w:jc w:val="center"/>
              <w:rPr>
                <w:rFonts w:ascii="宋体" w:hAnsi="宋体" w:eastAsia="宋体" w:cs="仿宋_GB2312"/>
                <w:sz w:val="24"/>
              </w:rPr>
            </w:pPr>
            <w:r>
              <w:rPr>
                <w:rFonts w:hint="eastAsia" w:ascii="宋体" w:hAnsi="宋体" w:eastAsia="宋体" w:cs="仿宋_GB2312"/>
                <w:sz w:val="24"/>
              </w:rPr>
              <w:t>绩效目标</w:t>
            </w:r>
          </w:p>
        </w:tc>
        <w:tc>
          <w:tcPr>
            <w:tcW w:w="2047" w:type="dxa"/>
            <w:vAlign w:val="center"/>
          </w:tcPr>
          <w:p>
            <w:pPr>
              <w:jc w:val="center"/>
              <w:rPr>
                <w:rFonts w:ascii="宋体" w:hAnsi="宋体" w:eastAsia="宋体" w:cs="仿宋_GB2312"/>
                <w:sz w:val="24"/>
              </w:rPr>
            </w:pPr>
            <w:r>
              <w:rPr>
                <w:rFonts w:hint="eastAsia" w:ascii="宋体" w:hAnsi="宋体" w:eastAsia="宋体" w:cs="仿宋_GB2312"/>
                <w:sz w:val="24"/>
              </w:rPr>
              <w:t>绩效目标合理性</w:t>
            </w:r>
          </w:p>
        </w:tc>
        <w:tc>
          <w:tcPr>
            <w:tcW w:w="1262" w:type="dxa"/>
            <w:vAlign w:val="center"/>
          </w:tcPr>
          <w:p>
            <w:pPr>
              <w:jc w:val="center"/>
              <w:rPr>
                <w:rFonts w:ascii="宋体" w:hAnsi="宋体" w:eastAsia="宋体" w:cs="仿宋_GB2312"/>
                <w:sz w:val="24"/>
              </w:rPr>
            </w:pPr>
            <w:r>
              <w:rPr>
                <w:rFonts w:hint="eastAsia" w:ascii="宋体" w:hAnsi="宋体" w:eastAsia="宋体" w:cs="仿宋_GB2312"/>
                <w:sz w:val="24"/>
              </w:rPr>
              <w:t>合理</w:t>
            </w:r>
          </w:p>
        </w:tc>
        <w:tc>
          <w:tcPr>
            <w:tcW w:w="1484" w:type="dxa"/>
            <w:vAlign w:val="center"/>
          </w:tcPr>
          <w:p>
            <w:pPr>
              <w:widowControl/>
              <w:jc w:val="center"/>
              <w:textAlignment w:val="center"/>
              <w:rPr>
                <w:rFonts w:ascii="宋体" w:hAnsi="宋体" w:eastAsia="宋体" w:cs="Times New Roman"/>
                <w:sz w:val="24"/>
              </w:rPr>
            </w:pPr>
            <w:r>
              <w:rPr>
                <w:rFonts w:ascii="宋体" w:hAnsi="宋体" w:eastAsia="宋体" w:cs="Times New Roman"/>
                <w:color w:val="000000"/>
                <w:kern w:val="0"/>
                <w:sz w:val="24"/>
                <w:lang w:bidi="ar"/>
              </w:rPr>
              <w:t>3</w:t>
            </w:r>
          </w:p>
        </w:tc>
        <w:tc>
          <w:tcPr>
            <w:tcW w:w="4269" w:type="dxa"/>
            <w:vAlign w:val="center"/>
          </w:tcPr>
          <w:p>
            <w:pPr>
              <w:rPr>
                <w:rFonts w:ascii="宋体" w:hAnsi="宋体" w:eastAsia="宋体" w:cs="Times New Roman"/>
                <w:sz w:val="24"/>
              </w:rPr>
            </w:pPr>
            <w:r>
              <w:rPr>
                <w:rFonts w:ascii="宋体" w:hAnsi="宋体" w:eastAsia="宋体" w:cs="Times New Roman"/>
                <w:sz w:val="24"/>
              </w:rPr>
              <w:t xml:space="preserve">绩效目标设定合理得3分；否则不 </w:t>
            </w:r>
          </w:p>
          <w:p>
            <w:pPr>
              <w:rPr>
                <w:rFonts w:ascii="宋体" w:hAnsi="宋体" w:eastAsia="宋体" w:cs="Times New Roman"/>
                <w:sz w:val="24"/>
              </w:rPr>
            </w:pPr>
            <w:r>
              <w:rPr>
                <w:rFonts w:ascii="宋体" w:hAnsi="宋体" w:eastAsia="宋体" w:cs="Times New Roman"/>
                <w:sz w:val="24"/>
              </w:rPr>
              <w:t xml:space="preserve">得分。 </w:t>
            </w:r>
          </w:p>
        </w:tc>
        <w:tc>
          <w:tcPr>
            <w:tcW w:w="1176" w:type="dxa"/>
            <w:vAlign w:val="center"/>
          </w:tcPr>
          <w:p>
            <w:pPr>
              <w:jc w:val="center"/>
              <w:rPr>
                <w:rFonts w:ascii="宋体" w:hAnsi="宋体" w:eastAsia="宋体" w:cs="Times New Roman"/>
                <w:sz w:val="24"/>
                <w:szCs w:val="24"/>
              </w:rPr>
            </w:pPr>
            <w:r>
              <w:rPr>
                <w:rFonts w:hint="eastAsia" w:ascii="宋体" w:hAnsi="宋体" w:eastAsia="宋体" w:cs="Times New Roman"/>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047" w:type="dxa"/>
            <w:vMerge w:val="continue"/>
          </w:tcPr>
          <w:p>
            <w:pPr>
              <w:jc w:val="center"/>
              <w:rPr>
                <w:rFonts w:ascii="宋体" w:hAnsi="宋体" w:eastAsia="宋体"/>
                <w:sz w:val="24"/>
              </w:rPr>
            </w:pPr>
          </w:p>
        </w:tc>
        <w:tc>
          <w:tcPr>
            <w:tcW w:w="2047" w:type="dxa"/>
            <w:vMerge w:val="continue"/>
            <w:vAlign w:val="center"/>
          </w:tcPr>
          <w:p>
            <w:pPr>
              <w:jc w:val="center"/>
              <w:rPr>
                <w:rFonts w:ascii="宋体" w:hAnsi="宋体" w:eastAsia="宋体" w:cs="仿宋_GB2312"/>
                <w:sz w:val="24"/>
              </w:rPr>
            </w:pPr>
          </w:p>
        </w:tc>
        <w:tc>
          <w:tcPr>
            <w:tcW w:w="2047" w:type="dxa"/>
            <w:vAlign w:val="center"/>
          </w:tcPr>
          <w:p>
            <w:pPr>
              <w:jc w:val="center"/>
              <w:rPr>
                <w:rFonts w:ascii="宋体" w:hAnsi="宋体" w:eastAsia="宋体" w:cs="仿宋_GB2312"/>
                <w:sz w:val="24"/>
              </w:rPr>
            </w:pPr>
            <w:r>
              <w:rPr>
                <w:rFonts w:hint="eastAsia" w:ascii="宋体" w:hAnsi="宋体" w:eastAsia="宋体" w:cs="仿宋_GB2312"/>
                <w:sz w:val="24"/>
              </w:rPr>
              <w:t>绩效指标明确性</w:t>
            </w:r>
          </w:p>
        </w:tc>
        <w:tc>
          <w:tcPr>
            <w:tcW w:w="1262" w:type="dxa"/>
            <w:vAlign w:val="center"/>
          </w:tcPr>
          <w:p>
            <w:pPr>
              <w:jc w:val="center"/>
              <w:rPr>
                <w:rFonts w:ascii="宋体" w:hAnsi="宋体" w:eastAsia="宋体" w:cs="仿宋_GB2312"/>
                <w:sz w:val="24"/>
              </w:rPr>
            </w:pPr>
            <w:r>
              <w:rPr>
                <w:rFonts w:hint="eastAsia" w:ascii="宋体" w:hAnsi="宋体" w:eastAsia="宋体" w:cs="仿宋_GB2312"/>
                <w:sz w:val="24"/>
              </w:rPr>
              <w:t xml:space="preserve">明确 </w:t>
            </w:r>
          </w:p>
        </w:tc>
        <w:tc>
          <w:tcPr>
            <w:tcW w:w="1484" w:type="dxa"/>
            <w:vAlign w:val="center"/>
          </w:tcPr>
          <w:p>
            <w:pPr>
              <w:widowControl/>
              <w:jc w:val="center"/>
              <w:textAlignment w:val="center"/>
              <w:rPr>
                <w:rFonts w:ascii="宋体" w:hAnsi="宋体" w:eastAsia="宋体" w:cs="Times New Roman"/>
                <w:sz w:val="24"/>
              </w:rPr>
            </w:pPr>
            <w:r>
              <w:rPr>
                <w:rFonts w:ascii="宋体" w:hAnsi="宋体" w:eastAsia="宋体" w:cs="Times New Roman"/>
                <w:color w:val="000000"/>
                <w:kern w:val="0"/>
                <w:sz w:val="24"/>
                <w:lang w:bidi="ar"/>
              </w:rPr>
              <w:t>3</w:t>
            </w:r>
          </w:p>
        </w:tc>
        <w:tc>
          <w:tcPr>
            <w:tcW w:w="4269" w:type="dxa"/>
            <w:vAlign w:val="center"/>
          </w:tcPr>
          <w:p>
            <w:pPr>
              <w:rPr>
                <w:rFonts w:ascii="宋体" w:hAnsi="宋体" w:eastAsia="宋体" w:cs="Times New Roman"/>
                <w:sz w:val="24"/>
              </w:rPr>
            </w:pPr>
            <w:r>
              <w:rPr>
                <w:rFonts w:ascii="宋体" w:hAnsi="宋体" w:eastAsia="宋体" w:cs="Times New Roman"/>
                <w:sz w:val="24"/>
              </w:rPr>
              <w:t>绩效指标明确得3分；否则不得分。</w:t>
            </w:r>
          </w:p>
        </w:tc>
        <w:tc>
          <w:tcPr>
            <w:tcW w:w="1176" w:type="dxa"/>
            <w:vAlign w:val="center"/>
          </w:tcPr>
          <w:p>
            <w:pPr>
              <w:jc w:val="center"/>
              <w:rPr>
                <w:rFonts w:ascii="宋体" w:hAnsi="宋体" w:eastAsia="宋体" w:cs="Times New Roman"/>
                <w:sz w:val="24"/>
                <w:szCs w:val="24"/>
              </w:rPr>
            </w:pPr>
            <w:r>
              <w:rPr>
                <w:rFonts w:hint="eastAsia" w:ascii="宋体" w:hAnsi="宋体" w:eastAsia="宋体" w:cs="Times New Roman"/>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047" w:type="dxa"/>
            <w:vMerge w:val="continue"/>
          </w:tcPr>
          <w:p>
            <w:pPr>
              <w:jc w:val="center"/>
              <w:rPr>
                <w:rFonts w:ascii="宋体" w:hAnsi="宋体" w:eastAsia="宋体"/>
                <w:sz w:val="24"/>
              </w:rPr>
            </w:pPr>
          </w:p>
        </w:tc>
        <w:tc>
          <w:tcPr>
            <w:tcW w:w="2047" w:type="dxa"/>
            <w:vMerge w:val="restart"/>
            <w:vAlign w:val="center"/>
          </w:tcPr>
          <w:p>
            <w:pPr>
              <w:jc w:val="center"/>
              <w:rPr>
                <w:rFonts w:ascii="宋体" w:hAnsi="宋体" w:eastAsia="宋体" w:cs="仿宋_GB2312"/>
                <w:sz w:val="24"/>
              </w:rPr>
            </w:pPr>
            <w:r>
              <w:rPr>
                <w:rFonts w:hint="eastAsia" w:ascii="宋体" w:hAnsi="宋体" w:eastAsia="宋体" w:cs="仿宋_GB2312"/>
                <w:sz w:val="24"/>
              </w:rPr>
              <w:t>资金投入</w:t>
            </w:r>
          </w:p>
        </w:tc>
        <w:tc>
          <w:tcPr>
            <w:tcW w:w="2047" w:type="dxa"/>
            <w:vAlign w:val="center"/>
          </w:tcPr>
          <w:p>
            <w:pPr>
              <w:jc w:val="center"/>
              <w:rPr>
                <w:rFonts w:ascii="宋体" w:hAnsi="宋体" w:eastAsia="宋体" w:cs="仿宋_GB2312"/>
                <w:sz w:val="24"/>
              </w:rPr>
            </w:pPr>
            <w:r>
              <w:rPr>
                <w:rFonts w:hint="eastAsia" w:ascii="宋体" w:hAnsi="宋体" w:eastAsia="宋体" w:cs="仿宋_GB2312"/>
                <w:sz w:val="24"/>
              </w:rPr>
              <w:t>预算编制科学性</w:t>
            </w:r>
          </w:p>
        </w:tc>
        <w:tc>
          <w:tcPr>
            <w:tcW w:w="1262" w:type="dxa"/>
            <w:vAlign w:val="center"/>
          </w:tcPr>
          <w:p>
            <w:pPr>
              <w:jc w:val="center"/>
              <w:rPr>
                <w:rFonts w:ascii="宋体" w:hAnsi="宋体" w:eastAsia="宋体" w:cs="仿宋_GB2312"/>
                <w:sz w:val="24"/>
              </w:rPr>
            </w:pPr>
            <w:r>
              <w:rPr>
                <w:rFonts w:hint="eastAsia" w:ascii="宋体" w:hAnsi="宋体" w:eastAsia="宋体" w:cs="仿宋_GB2312"/>
                <w:sz w:val="24"/>
              </w:rPr>
              <w:t>科学</w:t>
            </w:r>
          </w:p>
        </w:tc>
        <w:tc>
          <w:tcPr>
            <w:tcW w:w="1484" w:type="dxa"/>
            <w:vAlign w:val="center"/>
          </w:tcPr>
          <w:p>
            <w:pPr>
              <w:widowControl/>
              <w:jc w:val="center"/>
              <w:textAlignment w:val="center"/>
              <w:rPr>
                <w:rFonts w:ascii="宋体" w:hAnsi="宋体" w:eastAsia="宋体" w:cs="Times New Roman"/>
                <w:sz w:val="24"/>
              </w:rPr>
            </w:pPr>
            <w:r>
              <w:rPr>
                <w:rFonts w:ascii="宋体" w:hAnsi="宋体" w:eastAsia="宋体" w:cs="Times New Roman"/>
                <w:color w:val="000000"/>
                <w:kern w:val="0"/>
                <w:sz w:val="24"/>
                <w:lang w:bidi="ar"/>
              </w:rPr>
              <w:t>3</w:t>
            </w:r>
          </w:p>
        </w:tc>
        <w:tc>
          <w:tcPr>
            <w:tcW w:w="4269" w:type="dxa"/>
            <w:vAlign w:val="center"/>
          </w:tcPr>
          <w:p>
            <w:pPr>
              <w:rPr>
                <w:rFonts w:ascii="宋体" w:hAnsi="宋体" w:eastAsia="宋体" w:cs="Times New Roman"/>
                <w:sz w:val="24"/>
              </w:rPr>
            </w:pPr>
            <w:r>
              <w:rPr>
                <w:rFonts w:ascii="宋体" w:hAnsi="宋体" w:eastAsia="宋体" w:cs="Times New Roman"/>
                <w:sz w:val="24"/>
              </w:rPr>
              <w:t xml:space="preserve">立项程序规范得3分；否则不得分。 </w:t>
            </w:r>
          </w:p>
        </w:tc>
        <w:tc>
          <w:tcPr>
            <w:tcW w:w="1176" w:type="dxa"/>
            <w:vAlign w:val="center"/>
          </w:tcPr>
          <w:p>
            <w:pPr>
              <w:jc w:val="center"/>
              <w:rPr>
                <w:rFonts w:ascii="宋体" w:hAnsi="宋体" w:eastAsia="宋体" w:cs="Times New Roman"/>
                <w:sz w:val="24"/>
                <w:szCs w:val="24"/>
              </w:rPr>
            </w:pPr>
            <w:r>
              <w:rPr>
                <w:rFonts w:hint="eastAsia" w:ascii="宋体" w:hAnsi="宋体" w:eastAsia="宋体" w:cs="Times New Roman"/>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047" w:type="dxa"/>
            <w:vMerge w:val="continue"/>
          </w:tcPr>
          <w:p>
            <w:pPr>
              <w:jc w:val="center"/>
              <w:rPr>
                <w:rFonts w:ascii="宋体" w:hAnsi="宋体" w:eastAsia="宋体"/>
                <w:sz w:val="24"/>
              </w:rPr>
            </w:pPr>
          </w:p>
        </w:tc>
        <w:tc>
          <w:tcPr>
            <w:tcW w:w="2047" w:type="dxa"/>
            <w:vMerge w:val="continue"/>
            <w:vAlign w:val="center"/>
          </w:tcPr>
          <w:p>
            <w:pPr>
              <w:jc w:val="center"/>
              <w:rPr>
                <w:rFonts w:ascii="宋体" w:hAnsi="宋体" w:eastAsia="宋体"/>
                <w:sz w:val="24"/>
              </w:rPr>
            </w:pPr>
          </w:p>
        </w:tc>
        <w:tc>
          <w:tcPr>
            <w:tcW w:w="2047" w:type="dxa"/>
            <w:vAlign w:val="center"/>
          </w:tcPr>
          <w:p>
            <w:pPr>
              <w:jc w:val="center"/>
              <w:rPr>
                <w:rFonts w:ascii="宋体" w:hAnsi="宋体" w:eastAsia="宋体" w:cs="仿宋_GB2312"/>
                <w:sz w:val="24"/>
              </w:rPr>
            </w:pPr>
            <w:r>
              <w:rPr>
                <w:rFonts w:hint="eastAsia" w:ascii="宋体" w:hAnsi="宋体" w:eastAsia="宋体" w:cs="仿宋_GB2312"/>
                <w:sz w:val="24"/>
              </w:rPr>
              <w:t>资金分配合理性</w:t>
            </w:r>
          </w:p>
        </w:tc>
        <w:tc>
          <w:tcPr>
            <w:tcW w:w="1262" w:type="dxa"/>
            <w:vAlign w:val="center"/>
          </w:tcPr>
          <w:p>
            <w:pPr>
              <w:jc w:val="center"/>
              <w:rPr>
                <w:rFonts w:ascii="宋体" w:hAnsi="宋体" w:eastAsia="宋体" w:cs="仿宋_GB2312"/>
                <w:sz w:val="24"/>
              </w:rPr>
            </w:pPr>
            <w:r>
              <w:rPr>
                <w:rFonts w:hint="eastAsia" w:ascii="宋体" w:hAnsi="宋体" w:eastAsia="宋体" w:cs="仿宋_GB2312"/>
                <w:sz w:val="24"/>
              </w:rPr>
              <w:t>合理</w:t>
            </w:r>
          </w:p>
        </w:tc>
        <w:tc>
          <w:tcPr>
            <w:tcW w:w="1484" w:type="dxa"/>
            <w:vAlign w:val="center"/>
          </w:tcPr>
          <w:p>
            <w:pPr>
              <w:widowControl/>
              <w:jc w:val="center"/>
              <w:textAlignment w:val="center"/>
              <w:rPr>
                <w:rFonts w:ascii="宋体" w:hAnsi="宋体" w:eastAsia="宋体" w:cs="Times New Roman"/>
                <w:sz w:val="24"/>
              </w:rPr>
            </w:pPr>
            <w:r>
              <w:rPr>
                <w:rFonts w:ascii="宋体" w:hAnsi="宋体" w:eastAsia="宋体" w:cs="Times New Roman"/>
                <w:color w:val="000000"/>
                <w:kern w:val="0"/>
                <w:sz w:val="24"/>
                <w:lang w:bidi="ar"/>
              </w:rPr>
              <w:t>3</w:t>
            </w:r>
          </w:p>
        </w:tc>
        <w:tc>
          <w:tcPr>
            <w:tcW w:w="4269" w:type="dxa"/>
            <w:vAlign w:val="center"/>
          </w:tcPr>
          <w:p>
            <w:pPr>
              <w:rPr>
                <w:rFonts w:ascii="宋体" w:hAnsi="宋体" w:eastAsia="宋体" w:cs="Times New Roman"/>
                <w:sz w:val="24"/>
              </w:rPr>
            </w:pPr>
            <w:r>
              <w:rPr>
                <w:rFonts w:ascii="宋体" w:hAnsi="宋体" w:eastAsia="宋体" w:cs="Times New Roman"/>
                <w:sz w:val="24"/>
              </w:rPr>
              <w:t xml:space="preserve">资金分配合理得3分；否则不得分。 </w:t>
            </w:r>
          </w:p>
        </w:tc>
        <w:tc>
          <w:tcPr>
            <w:tcW w:w="1176" w:type="dxa"/>
            <w:vAlign w:val="center"/>
          </w:tcPr>
          <w:p>
            <w:pPr>
              <w:jc w:val="center"/>
              <w:rPr>
                <w:rFonts w:ascii="宋体" w:hAnsi="宋体" w:eastAsia="宋体" w:cs="Times New Roman"/>
                <w:sz w:val="24"/>
                <w:szCs w:val="24"/>
              </w:rPr>
            </w:pPr>
            <w:r>
              <w:rPr>
                <w:rFonts w:hint="eastAsia" w:ascii="宋体" w:hAnsi="宋体" w:eastAsia="宋体" w:cs="Times New Roman"/>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047" w:type="dxa"/>
            <w:vMerge w:val="restart"/>
            <w:vAlign w:val="center"/>
          </w:tcPr>
          <w:p>
            <w:pPr>
              <w:jc w:val="center"/>
              <w:rPr>
                <w:rFonts w:ascii="宋体" w:hAnsi="宋体" w:eastAsia="宋体" w:cs="仿宋_GB2312"/>
                <w:sz w:val="24"/>
              </w:rPr>
            </w:pPr>
            <w:r>
              <w:rPr>
                <w:rFonts w:hint="eastAsia" w:ascii="宋体" w:hAnsi="宋体" w:eastAsia="宋体" w:cs="仿宋_GB2312"/>
                <w:sz w:val="24"/>
              </w:rPr>
              <w:t>过程</w:t>
            </w:r>
          </w:p>
        </w:tc>
        <w:tc>
          <w:tcPr>
            <w:tcW w:w="2047" w:type="dxa"/>
            <w:vMerge w:val="restart"/>
            <w:vAlign w:val="center"/>
          </w:tcPr>
          <w:p>
            <w:pPr>
              <w:jc w:val="center"/>
              <w:rPr>
                <w:rFonts w:ascii="宋体" w:hAnsi="宋体" w:eastAsia="宋体"/>
                <w:sz w:val="24"/>
              </w:rPr>
            </w:pPr>
            <w:r>
              <w:rPr>
                <w:rFonts w:hint="eastAsia" w:ascii="宋体" w:hAnsi="宋体" w:eastAsia="宋体" w:cs="仿宋_GB2312"/>
                <w:sz w:val="24"/>
              </w:rPr>
              <w:t>资金管理</w:t>
            </w:r>
          </w:p>
        </w:tc>
        <w:tc>
          <w:tcPr>
            <w:tcW w:w="2047" w:type="dxa"/>
            <w:vAlign w:val="center"/>
          </w:tcPr>
          <w:p>
            <w:pPr>
              <w:jc w:val="center"/>
              <w:rPr>
                <w:rFonts w:ascii="宋体" w:hAnsi="宋体" w:eastAsia="宋体" w:cs="仿宋_GB2312"/>
                <w:sz w:val="24"/>
              </w:rPr>
            </w:pPr>
            <w:r>
              <w:rPr>
                <w:rFonts w:hint="eastAsia" w:ascii="宋体" w:hAnsi="宋体" w:eastAsia="宋体" w:cs="仿宋_GB2312"/>
                <w:sz w:val="24"/>
              </w:rPr>
              <w:t>资金到位率</w:t>
            </w:r>
          </w:p>
        </w:tc>
        <w:tc>
          <w:tcPr>
            <w:tcW w:w="1262" w:type="dxa"/>
            <w:vAlign w:val="center"/>
          </w:tcPr>
          <w:p>
            <w:pPr>
              <w:jc w:val="center"/>
              <w:rPr>
                <w:rFonts w:ascii="宋体" w:hAnsi="宋体" w:eastAsia="宋体" w:cs="Times New Roman"/>
                <w:sz w:val="24"/>
              </w:rPr>
            </w:pPr>
            <w:r>
              <w:rPr>
                <w:rFonts w:ascii="宋体" w:hAnsi="宋体" w:eastAsia="宋体" w:cs="Times New Roman"/>
                <w:sz w:val="24"/>
              </w:rPr>
              <w:t xml:space="preserve">=100% </w:t>
            </w:r>
          </w:p>
        </w:tc>
        <w:tc>
          <w:tcPr>
            <w:tcW w:w="1484" w:type="dxa"/>
            <w:vAlign w:val="center"/>
          </w:tcPr>
          <w:p>
            <w:pPr>
              <w:widowControl/>
              <w:jc w:val="center"/>
              <w:textAlignment w:val="center"/>
              <w:rPr>
                <w:rFonts w:ascii="宋体" w:hAnsi="宋体" w:eastAsia="宋体" w:cs="Times New Roman"/>
                <w:sz w:val="24"/>
              </w:rPr>
            </w:pPr>
            <w:r>
              <w:rPr>
                <w:rFonts w:ascii="宋体" w:hAnsi="宋体" w:eastAsia="宋体" w:cs="Times New Roman"/>
                <w:color w:val="000000"/>
                <w:kern w:val="0"/>
                <w:sz w:val="24"/>
                <w:lang w:bidi="ar"/>
              </w:rPr>
              <w:t>5</w:t>
            </w:r>
          </w:p>
        </w:tc>
        <w:tc>
          <w:tcPr>
            <w:tcW w:w="4269" w:type="dxa"/>
            <w:vAlign w:val="center"/>
          </w:tcPr>
          <w:p>
            <w:pPr>
              <w:rPr>
                <w:rFonts w:ascii="宋体" w:hAnsi="宋体" w:eastAsia="宋体" w:cs="Times New Roman"/>
                <w:sz w:val="24"/>
              </w:rPr>
            </w:pPr>
            <w:r>
              <w:rPr>
                <w:rFonts w:ascii="宋体" w:hAnsi="宋体" w:eastAsia="宋体" w:cs="Times New Roman"/>
                <w:sz w:val="24"/>
              </w:rPr>
              <w:t>资金到位率 100%得</w:t>
            </w:r>
            <w:r>
              <w:rPr>
                <w:rFonts w:hint="eastAsia" w:ascii="宋体" w:hAnsi="宋体" w:eastAsia="宋体" w:cs="Times New Roman"/>
                <w:sz w:val="24"/>
              </w:rPr>
              <w:t>5</w:t>
            </w:r>
            <w:r>
              <w:rPr>
                <w:rFonts w:ascii="宋体" w:hAnsi="宋体" w:eastAsia="宋体" w:cs="Times New Roman"/>
                <w:sz w:val="24"/>
              </w:rPr>
              <w:t xml:space="preserve">分；每递减10%扣1分。 </w:t>
            </w:r>
          </w:p>
        </w:tc>
        <w:tc>
          <w:tcPr>
            <w:tcW w:w="1176" w:type="dxa"/>
            <w:vAlign w:val="center"/>
          </w:tcPr>
          <w:p>
            <w:pPr>
              <w:jc w:val="center"/>
              <w:rPr>
                <w:rFonts w:ascii="宋体" w:hAnsi="宋体" w:eastAsia="宋体" w:cs="Times New Roman"/>
                <w:sz w:val="24"/>
                <w:szCs w:val="24"/>
              </w:rPr>
            </w:pPr>
            <w:r>
              <w:rPr>
                <w:rFonts w:hint="eastAsia" w:ascii="宋体" w:hAnsi="宋体" w:eastAsia="宋体" w:cs="Times New Roman"/>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047" w:type="dxa"/>
            <w:vMerge w:val="continue"/>
          </w:tcPr>
          <w:p>
            <w:pPr>
              <w:jc w:val="center"/>
              <w:rPr>
                <w:rFonts w:ascii="宋体" w:hAnsi="宋体" w:eastAsia="宋体"/>
                <w:sz w:val="24"/>
              </w:rPr>
            </w:pPr>
          </w:p>
        </w:tc>
        <w:tc>
          <w:tcPr>
            <w:tcW w:w="2047" w:type="dxa"/>
            <w:vMerge w:val="continue"/>
            <w:vAlign w:val="center"/>
          </w:tcPr>
          <w:p>
            <w:pPr>
              <w:jc w:val="center"/>
              <w:rPr>
                <w:rFonts w:ascii="宋体" w:hAnsi="宋体" w:eastAsia="宋体"/>
                <w:sz w:val="24"/>
              </w:rPr>
            </w:pPr>
          </w:p>
        </w:tc>
        <w:tc>
          <w:tcPr>
            <w:tcW w:w="2047" w:type="dxa"/>
            <w:vAlign w:val="center"/>
          </w:tcPr>
          <w:p>
            <w:pPr>
              <w:jc w:val="center"/>
              <w:rPr>
                <w:rFonts w:ascii="宋体" w:hAnsi="宋体" w:eastAsia="宋体" w:cs="仿宋_GB2312"/>
                <w:sz w:val="24"/>
              </w:rPr>
            </w:pPr>
            <w:r>
              <w:rPr>
                <w:rFonts w:hint="eastAsia" w:ascii="宋体" w:hAnsi="宋体" w:eastAsia="宋体" w:cs="仿宋_GB2312"/>
                <w:sz w:val="24"/>
              </w:rPr>
              <w:t>预算执行率</w:t>
            </w:r>
          </w:p>
        </w:tc>
        <w:tc>
          <w:tcPr>
            <w:tcW w:w="1262" w:type="dxa"/>
            <w:vAlign w:val="center"/>
          </w:tcPr>
          <w:p>
            <w:pPr>
              <w:jc w:val="center"/>
              <w:rPr>
                <w:rFonts w:ascii="宋体" w:hAnsi="宋体" w:eastAsia="宋体" w:cs="Times New Roman"/>
                <w:sz w:val="24"/>
              </w:rPr>
            </w:pPr>
            <w:r>
              <w:rPr>
                <w:rFonts w:ascii="宋体" w:hAnsi="宋体" w:eastAsia="宋体" w:cs="Times New Roman"/>
                <w:sz w:val="24"/>
              </w:rPr>
              <w:t xml:space="preserve">=100% </w:t>
            </w:r>
          </w:p>
        </w:tc>
        <w:tc>
          <w:tcPr>
            <w:tcW w:w="1484" w:type="dxa"/>
            <w:vAlign w:val="center"/>
          </w:tcPr>
          <w:p>
            <w:pPr>
              <w:widowControl/>
              <w:jc w:val="center"/>
              <w:textAlignment w:val="center"/>
              <w:rPr>
                <w:rFonts w:ascii="宋体" w:hAnsi="宋体" w:eastAsia="宋体" w:cs="Times New Roman"/>
                <w:sz w:val="24"/>
              </w:rPr>
            </w:pPr>
            <w:r>
              <w:rPr>
                <w:rFonts w:ascii="宋体" w:hAnsi="宋体" w:eastAsia="宋体" w:cs="Times New Roman"/>
                <w:color w:val="000000"/>
                <w:kern w:val="0"/>
                <w:sz w:val="24"/>
                <w:lang w:bidi="ar"/>
              </w:rPr>
              <w:t>5</w:t>
            </w:r>
          </w:p>
        </w:tc>
        <w:tc>
          <w:tcPr>
            <w:tcW w:w="4269" w:type="dxa"/>
            <w:vAlign w:val="center"/>
          </w:tcPr>
          <w:p>
            <w:pPr>
              <w:rPr>
                <w:rFonts w:ascii="宋体" w:hAnsi="宋体" w:eastAsia="宋体" w:cs="Times New Roman"/>
                <w:sz w:val="24"/>
              </w:rPr>
            </w:pPr>
            <w:r>
              <w:rPr>
                <w:rFonts w:ascii="宋体" w:hAnsi="宋体" w:eastAsia="宋体" w:cs="Times New Roman"/>
                <w:sz w:val="24"/>
              </w:rPr>
              <w:t>预算执行率 100%得</w:t>
            </w:r>
            <w:r>
              <w:rPr>
                <w:rFonts w:hint="eastAsia" w:ascii="宋体" w:hAnsi="宋体" w:eastAsia="宋体" w:cs="Times New Roman"/>
                <w:sz w:val="24"/>
              </w:rPr>
              <w:t>5</w:t>
            </w:r>
            <w:r>
              <w:rPr>
                <w:rFonts w:ascii="宋体" w:hAnsi="宋体" w:eastAsia="宋体" w:cs="Times New Roman"/>
                <w:sz w:val="24"/>
              </w:rPr>
              <w:t xml:space="preserve">分；每递减10%扣1分。 </w:t>
            </w:r>
          </w:p>
        </w:tc>
        <w:tc>
          <w:tcPr>
            <w:tcW w:w="1176" w:type="dxa"/>
            <w:vAlign w:val="center"/>
          </w:tcPr>
          <w:p>
            <w:pPr>
              <w:jc w:val="center"/>
              <w:rPr>
                <w:rFonts w:ascii="宋体" w:hAnsi="宋体" w:eastAsia="宋体" w:cs="Times New Roman"/>
                <w:sz w:val="24"/>
                <w:szCs w:val="24"/>
              </w:rPr>
            </w:pPr>
            <w:r>
              <w:rPr>
                <w:rFonts w:hint="eastAsia" w:ascii="宋体" w:hAnsi="宋体" w:eastAsia="宋体" w:cs="Times New Roman"/>
                <w:sz w:val="24"/>
                <w:szCs w:val="24"/>
              </w:rPr>
              <w:t>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047" w:type="dxa"/>
            <w:vMerge w:val="continue"/>
          </w:tcPr>
          <w:p>
            <w:pPr>
              <w:jc w:val="center"/>
              <w:rPr>
                <w:rFonts w:ascii="宋体" w:hAnsi="宋体" w:eastAsia="宋体"/>
                <w:sz w:val="24"/>
              </w:rPr>
            </w:pPr>
          </w:p>
        </w:tc>
        <w:tc>
          <w:tcPr>
            <w:tcW w:w="2047" w:type="dxa"/>
            <w:vMerge w:val="continue"/>
            <w:vAlign w:val="center"/>
          </w:tcPr>
          <w:p>
            <w:pPr>
              <w:jc w:val="center"/>
              <w:rPr>
                <w:rFonts w:ascii="宋体" w:hAnsi="宋体" w:eastAsia="宋体"/>
                <w:sz w:val="24"/>
              </w:rPr>
            </w:pPr>
          </w:p>
        </w:tc>
        <w:tc>
          <w:tcPr>
            <w:tcW w:w="2047" w:type="dxa"/>
            <w:vAlign w:val="center"/>
          </w:tcPr>
          <w:p>
            <w:pPr>
              <w:jc w:val="center"/>
              <w:rPr>
                <w:rFonts w:ascii="宋体" w:hAnsi="宋体" w:eastAsia="宋体" w:cs="仿宋_GB2312"/>
                <w:sz w:val="24"/>
              </w:rPr>
            </w:pPr>
            <w:r>
              <w:rPr>
                <w:rFonts w:hint="eastAsia" w:ascii="宋体" w:hAnsi="宋体" w:eastAsia="宋体" w:cs="仿宋_GB2312"/>
                <w:sz w:val="24"/>
              </w:rPr>
              <w:t xml:space="preserve">资金使用合规性 </w:t>
            </w:r>
          </w:p>
        </w:tc>
        <w:tc>
          <w:tcPr>
            <w:tcW w:w="1262" w:type="dxa"/>
            <w:vAlign w:val="center"/>
          </w:tcPr>
          <w:p>
            <w:pPr>
              <w:jc w:val="center"/>
              <w:rPr>
                <w:rFonts w:ascii="宋体" w:hAnsi="宋体" w:eastAsia="宋体" w:cs="Times New Roman"/>
                <w:sz w:val="24"/>
              </w:rPr>
            </w:pPr>
            <w:r>
              <w:rPr>
                <w:rFonts w:ascii="宋体" w:hAnsi="宋体" w:eastAsia="宋体" w:cs="Times New Roman"/>
                <w:sz w:val="24"/>
              </w:rPr>
              <w:t xml:space="preserve">合规 </w:t>
            </w:r>
          </w:p>
        </w:tc>
        <w:tc>
          <w:tcPr>
            <w:tcW w:w="1484" w:type="dxa"/>
            <w:vAlign w:val="center"/>
          </w:tcPr>
          <w:p>
            <w:pPr>
              <w:widowControl/>
              <w:jc w:val="center"/>
              <w:textAlignment w:val="center"/>
              <w:rPr>
                <w:rFonts w:ascii="宋体" w:hAnsi="宋体" w:eastAsia="宋体" w:cs="Times New Roman"/>
                <w:sz w:val="24"/>
              </w:rPr>
            </w:pPr>
            <w:r>
              <w:rPr>
                <w:rFonts w:ascii="宋体" w:hAnsi="宋体" w:eastAsia="宋体" w:cs="Times New Roman"/>
                <w:color w:val="000000"/>
                <w:kern w:val="0"/>
                <w:sz w:val="24"/>
                <w:lang w:bidi="ar"/>
              </w:rPr>
              <w:t>5</w:t>
            </w:r>
          </w:p>
        </w:tc>
        <w:tc>
          <w:tcPr>
            <w:tcW w:w="4269" w:type="dxa"/>
            <w:vAlign w:val="center"/>
          </w:tcPr>
          <w:p>
            <w:pPr>
              <w:rPr>
                <w:rFonts w:ascii="宋体" w:hAnsi="宋体" w:eastAsia="宋体" w:cs="Times New Roman"/>
                <w:sz w:val="24"/>
              </w:rPr>
            </w:pPr>
            <w:r>
              <w:rPr>
                <w:rFonts w:ascii="宋体" w:hAnsi="宋体" w:eastAsia="宋体" w:cs="Times New Roman"/>
                <w:sz w:val="24"/>
              </w:rPr>
              <w:t>资金使用合规得</w:t>
            </w:r>
            <w:r>
              <w:rPr>
                <w:rFonts w:hint="eastAsia" w:ascii="宋体" w:hAnsi="宋体" w:eastAsia="宋体" w:cs="Times New Roman"/>
                <w:sz w:val="24"/>
              </w:rPr>
              <w:t>5</w:t>
            </w:r>
            <w:r>
              <w:rPr>
                <w:rFonts w:ascii="宋体" w:hAnsi="宋体" w:eastAsia="宋体" w:cs="Times New Roman"/>
                <w:sz w:val="24"/>
              </w:rPr>
              <w:t xml:space="preserve">分；否则不得分。 </w:t>
            </w:r>
          </w:p>
        </w:tc>
        <w:tc>
          <w:tcPr>
            <w:tcW w:w="1176" w:type="dxa"/>
            <w:vAlign w:val="center"/>
          </w:tcPr>
          <w:p>
            <w:pPr>
              <w:jc w:val="center"/>
              <w:rPr>
                <w:rFonts w:ascii="宋体" w:hAnsi="宋体" w:eastAsia="宋体" w:cs="Times New Roman"/>
                <w:sz w:val="24"/>
                <w:szCs w:val="24"/>
              </w:rPr>
            </w:pPr>
            <w:r>
              <w:rPr>
                <w:rFonts w:hint="eastAsia" w:ascii="宋体" w:hAnsi="宋体" w:eastAsia="宋体" w:cs="Times New Roman"/>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047" w:type="dxa"/>
            <w:vMerge w:val="continue"/>
          </w:tcPr>
          <w:p>
            <w:pPr>
              <w:jc w:val="center"/>
              <w:rPr>
                <w:rFonts w:ascii="宋体" w:hAnsi="宋体" w:eastAsia="宋体"/>
                <w:sz w:val="24"/>
              </w:rPr>
            </w:pPr>
          </w:p>
        </w:tc>
        <w:tc>
          <w:tcPr>
            <w:tcW w:w="2047" w:type="dxa"/>
            <w:vMerge w:val="restart"/>
            <w:vAlign w:val="center"/>
          </w:tcPr>
          <w:p>
            <w:pPr>
              <w:jc w:val="center"/>
              <w:rPr>
                <w:rFonts w:ascii="宋体" w:hAnsi="宋体" w:eastAsia="宋体"/>
                <w:sz w:val="24"/>
              </w:rPr>
            </w:pPr>
            <w:r>
              <w:rPr>
                <w:rFonts w:hint="eastAsia" w:ascii="宋体" w:hAnsi="宋体" w:eastAsia="宋体" w:cs="仿宋_GB2312"/>
                <w:sz w:val="24"/>
              </w:rPr>
              <w:t>组织实施</w:t>
            </w:r>
          </w:p>
        </w:tc>
        <w:tc>
          <w:tcPr>
            <w:tcW w:w="2047" w:type="dxa"/>
            <w:vAlign w:val="center"/>
          </w:tcPr>
          <w:p>
            <w:pPr>
              <w:jc w:val="center"/>
              <w:rPr>
                <w:rFonts w:ascii="宋体" w:hAnsi="宋体" w:eastAsia="宋体" w:cs="仿宋_GB2312"/>
                <w:sz w:val="24"/>
              </w:rPr>
            </w:pPr>
            <w:r>
              <w:rPr>
                <w:rFonts w:hint="eastAsia" w:ascii="宋体" w:hAnsi="宋体" w:eastAsia="宋体" w:cs="仿宋_GB2312"/>
                <w:sz w:val="24"/>
              </w:rPr>
              <w:t>管理制度健全性</w:t>
            </w:r>
          </w:p>
        </w:tc>
        <w:tc>
          <w:tcPr>
            <w:tcW w:w="1262" w:type="dxa"/>
            <w:vAlign w:val="center"/>
          </w:tcPr>
          <w:p>
            <w:pPr>
              <w:jc w:val="center"/>
              <w:rPr>
                <w:rFonts w:ascii="宋体" w:hAnsi="宋体" w:eastAsia="宋体" w:cs="仿宋_GB2312"/>
                <w:sz w:val="24"/>
              </w:rPr>
            </w:pPr>
            <w:r>
              <w:rPr>
                <w:rFonts w:hint="eastAsia" w:ascii="宋体" w:hAnsi="宋体" w:eastAsia="宋体" w:cs="仿宋_GB2312"/>
                <w:sz w:val="24"/>
              </w:rPr>
              <w:t>健全</w:t>
            </w:r>
          </w:p>
        </w:tc>
        <w:tc>
          <w:tcPr>
            <w:tcW w:w="1484" w:type="dxa"/>
            <w:vAlign w:val="center"/>
          </w:tcPr>
          <w:p>
            <w:pPr>
              <w:widowControl/>
              <w:jc w:val="center"/>
              <w:textAlignment w:val="center"/>
              <w:rPr>
                <w:rFonts w:ascii="宋体" w:hAnsi="宋体" w:eastAsia="宋体" w:cs="Times New Roman"/>
                <w:sz w:val="24"/>
              </w:rPr>
            </w:pPr>
            <w:r>
              <w:rPr>
                <w:rFonts w:ascii="宋体" w:hAnsi="宋体" w:eastAsia="宋体" w:cs="Times New Roman"/>
                <w:color w:val="000000"/>
                <w:kern w:val="0"/>
                <w:sz w:val="24"/>
                <w:lang w:bidi="ar"/>
              </w:rPr>
              <w:t>5</w:t>
            </w:r>
          </w:p>
        </w:tc>
        <w:tc>
          <w:tcPr>
            <w:tcW w:w="4269" w:type="dxa"/>
            <w:vAlign w:val="center"/>
          </w:tcPr>
          <w:p>
            <w:pPr>
              <w:rPr>
                <w:rFonts w:ascii="宋体" w:hAnsi="宋体" w:eastAsia="宋体" w:cs="Times New Roman"/>
                <w:sz w:val="24"/>
              </w:rPr>
            </w:pPr>
            <w:r>
              <w:rPr>
                <w:rFonts w:ascii="宋体" w:hAnsi="宋体" w:eastAsia="宋体" w:cs="Times New Roman"/>
                <w:sz w:val="24"/>
              </w:rPr>
              <w:t>管理制度健全得</w:t>
            </w:r>
            <w:r>
              <w:rPr>
                <w:rFonts w:hint="eastAsia" w:ascii="宋体" w:hAnsi="宋体" w:eastAsia="宋体" w:cs="Times New Roman"/>
                <w:sz w:val="24"/>
              </w:rPr>
              <w:t>5</w:t>
            </w:r>
            <w:r>
              <w:rPr>
                <w:rFonts w:ascii="宋体" w:hAnsi="宋体" w:eastAsia="宋体" w:cs="Times New Roman"/>
                <w:sz w:val="24"/>
              </w:rPr>
              <w:t>分；否则不得分。</w:t>
            </w:r>
          </w:p>
        </w:tc>
        <w:tc>
          <w:tcPr>
            <w:tcW w:w="1176" w:type="dxa"/>
            <w:vAlign w:val="center"/>
          </w:tcPr>
          <w:p>
            <w:pPr>
              <w:jc w:val="center"/>
              <w:rPr>
                <w:rFonts w:ascii="宋体" w:hAnsi="宋体" w:eastAsia="宋体" w:cs="Times New Roman"/>
                <w:sz w:val="24"/>
                <w:szCs w:val="24"/>
              </w:rPr>
            </w:pPr>
            <w:r>
              <w:rPr>
                <w:rFonts w:hint="eastAsia" w:ascii="宋体" w:hAnsi="宋体" w:eastAsia="宋体" w:cs="Times New Roman"/>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047" w:type="dxa"/>
            <w:vMerge w:val="continue"/>
          </w:tcPr>
          <w:p>
            <w:pPr>
              <w:jc w:val="center"/>
              <w:rPr>
                <w:rFonts w:ascii="宋体" w:hAnsi="宋体" w:eastAsia="宋体"/>
                <w:sz w:val="24"/>
              </w:rPr>
            </w:pPr>
          </w:p>
        </w:tc>
        <w:tc>
          <w:tcPr>
            <w:tcW w:w="2047" w:type="dxa"/>
            <w:vMerge w:val="continue"/>
            <w:vAlign w:val="center"/>
          </w:tcPr>
          <w:p>
            <w:pPr>
              <w:jc w:val="center"/>
              <w:rPr>
                <w:rFonts w:ascii="宋体" w:hAnsi="宋体" w:eastAsia="宋体"/>
                <w:sz w:val="24"/>
              </w:rPr>
            </w:pPr>
          </w:p>
        </w:tc>
        <w:tc>
          <w:tcPr>
            <w:tcW w:w="2047" w:type="dxa"/>
            <w:vAlign w:val="center"/>
          </w:tcPr>
          <w:p>
            <w:pPr>
              <w:widowControl/>
              <w:jc w:val="center"/>
              <w:rPr>
                <w:rFonts w:ascii="宋体" w:hAnsi="宋体" w:eastAsia="宋体" w:cs="仿宋_GB2312"/>
                <w:sz w:val="24"/>
              </w:rPr>
            </w:pPr>
            <w:r>
              <w:rPr>
                <w:rFonts w:hint="eastAsia" w:ascii="宋体" w:hAnsi="宋体" w:eastAsia="宋体" w:cs="仿宋_GB2312"/>
                <w:sz w:val="24"/>
              </w:rPr>
              <w:t>制度执行有效性</w:t>
            </w:r>
          </w:p>
        </w:tc>
        <w:tc>
          <w:tcPr>
            <w:tcW w:w="1262" w:type="dxa"/>
            <w:vAlign w:val="center"/>
          </w:tcPr>
          <w:p>
            <w:pPr>
              <w:jc w:val="center"/>
              <w:rPr>
                <w:rFonts w:ascii="宋体" w:hAnsi="宋体" w:eastAsia="宋体" w:cs="仿宋_GB2312"/>
                <w:sz w:val="24"/>
              </w:rPr>
            </w:pPr>
            <w:r>
              <w:rPr>
                <w:rFonts w:hint="eastAsia" w:ascii="宋体" w:hAnsi="宋体" w:eastAsia="宋体" w:cs="仿宋_GB2312"/>
                <w:sz w:val="24"/>
              </w:rPr>
              <w:t>有效</w:t>
            </w:r>
          </w:p>
        </w:tc>
        <w:tc>
          <w:tcPr>
            <w:tcW w:w="1484" w:type="dxa"/>
            <w:vAlign w:val="center"/>
          </w:tcPr>
          <w:p>
            <w:pPr>
              <w:widowControl/>
              <w:jc w:val="center"/>
              <w:textAlignment w:val="center"/>
              <w:rPr>
                <w:rFonts w:ascii="宋体" w:hAnsi="宋体" w:eastAsia="宋体" w:cs="Times New Roman"/>
                <w:sz w:val="24"/>
              </w:rPr>
            </w:pPr>
            <w:r>
              <w:rPr>
                <w:rFonts w:ascii="宋体" w:hAnsi="宋体" w:eastAsia="宋体" w:cs="Times New Roman"/>
                <w:color w:val="000000"/>
                <w:kern w:val="0"/>
                <w:sz w:val="24"/>
                <w:lang w:bidi="ar"/>
              </w:rPr>
              <w:t>5</w:t>
            </w:r>
          </w:p>
        </w:tc>
        <w:tc>
          <w:tcPr>
            <w:tcW w:w="4269" w:type="dxa"/>
            <w:vAlign w:val="center"/>
          </w:tcPr>
          <w:p>
            <w:pPr>
              <w:rPr>
                <w:rFonts w:ascii="宋体" w:hAnsi="宋体" w:eastAsia="宋体" w:cs="Times New Roman"/>
                <w:sz w:val="24"/>
              </w:rPr>
            </w:pPr>
            <w:r>
              <w:rPr>
                <w:rFonts w:ascii="宋体" w:hAnsi="宋体" w:eastAsia="宋体" w:cs="Times New Roman"/>
                <w:sz w:val="24"/>
              </w:rPr>
              <w:t>制度执行有效得</w:t>
            </w:r>
            <w:r>
              <w:rPr>
                <w:rFonts w:hint="eastAsia" w:ascii="宋体" w:hAnsi="宋体" w:eastAsia="宋体" w:cs="Times New Roman"/>
                <w:sz w:val="24"/>
              </w:rPr>
              <w:t>5</w:t>
            </w:r>
            <w:r>
              <w:rPr>
                <w:rFonts w:ascii="宋体" w:hAnsi="宋体" w:eastAsia="宋体" w:cs="Times New Roman"/>
                <w:sz w:val="24"/>
              </w:rPr>
              <w:t>分；否则不得分。</w:t>
            </w:r>
          </w:p>
        </w:tc>
        <w:tc>
          <w:tcPr>
            <w:tcW w:w="1176" w:type="dxa"/>
            <w:vAlign w:val="center"/>
          </w:tcPr>
          <w:p>
            <w:pPr>
              <w:jc w:val="center"/>
              <w:rPr>
                <w:rFonts w:ascii="宋体" w:hAnsi="宋体" w:eastAsia="宋体" w:cs="Times New Roman"/>
                <w:sz w:val="24"/>
                <w:szCs w:val="24"/>
              </w:rPr>
            </w:pPr>
            <w:r>
              <w:rPr>
                <w:rFonts w:hint="eastAsia" w:ascii="宋体" w:hAnsi="宋体" w:eastAsia="宋体" w:cs="Times New Roman"/>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047" w:type="dxa"/>
            <w:vMerge w:val="restart"/>
            <w:vAlign w:val="center"/>
          </w:tcPr>
          <w:p>
            <w:pPr>
              <w:jc w:val="center"/>
              <w:rPr>
                <w:rFonts w:ascii="宋体" w:hAnsi="宋体" w:eastAsia="宋体" w:cs="仿宋_GB2312"/>
                <w:sz w:val="24"/>
              </w:rPr>
            </w:pPr>
            <w:r>
              <w:rPr>
                <w:rFonts w:hint="eastAsia" w:ascii="宋体" w:hAnsi="宋体" w:eastAsia="宋体" w:cs="仿宋_GB2312"/>
                <w:sz w:val="24"/>
              </w:rPr>
              <w:t>产出</w:t>
            </w:r>
          </w:p>
        </w:tc>
        <w:tc>
          <w:tcPr>
            <w:tcW w:w="2047" w:type="dxa"/>
            <w:vMerge w:val="restart"/>
            <w:vAlign w:val="center"/>
          </w:tcPr>
          <w:p>
            <w:pPr>
              <w:jc w:val="center"/>
              <w:rPr>
                <w:rFonts w:ascii="宋体" w:hAnsi="宋体" w:eastAsia="宋体" w:cs="仿宋_GB2312"/>
                <w:sz w:val="24"/>
              </w:rPr>
            </w:pPr>
            <w:r>
              <w:rPr>
                <w:rFonts w:hint="eastAsia" w:ascii="宋体" w:hAnsi="宋体" w:eastAsia="宋体" w:cs="仿宋_GB2312"/>
                <w:sz w:val="24"/>
              </w:rPr>
              <w:t>项目产出</w:t>
            </w:r>
          </w:p>
        </w:tc>
        <w:tc>
          <w:tcPr>
            <w:tcW w:w="2047" w:type="dxa"/>
            <w:vAlign w:val="center"/>
          </w:tcPr>
          <w:p>
            <w:pPr>
              <w:jc w:val="center"/>
              <w:rPr>
                <w:rFonts w:ascii="宋体" w:hAnsi="宋体" w:eastAsia="宋体" w:cs="仿宋_GB2312"/>
                <w:sz w:val="24"/>
              </w:rPr>
            </w:pPr>
            <w:r>
              <w:rPr>
                <w:rFonts w:hint="eastAsia" w:ascii="宋体" w:hAnsi="宋体" w:eastAsia="宋体" w:cs="仿宋_GB2312"/>
                <w:sz w:val="24"/>
              </w:rPr>
              <w:t>项目建成情况</w:t>
            </w:r>
          </w:p>
        </w:tc>
        <w:tc>
          <w:tcPr>
            <w:tcW w:w="1262" w:type="dxa"/>
            <w:vAlign w:val="center"/>
          </w:tcPr>
          <w:p>
            <w:pPr>
              <w:jc w:val="center"/>
              <w:rPr>
                <w:rFonts w:ascii="宋体" w:hAnsi="宋体" w:eastAsia="宋体" w:cs="仿宋_GB2312"/>
                <w:sz w:val="24"/>
              </w:rPr>
            </w:pPr>
            <w:r>
              <w:rPr>
                <w:rFonts w:hint="eastAsia" w:ascii="宋体" w:hAnsi="宋体" w:eastAsia="宋体" w:cs="仿宋_GB2312"/>
                <w:sz w:val="24"/>
              </w:rPr>
              <w:t>完成</w:t>
            </w:r>
          </w:p>
        </w:tc>
        <w:tc>
          <w:tcPr>
            <w:tcW w:w="1484" w:type="dxa"/>
            <w:vAlign w:val="center"/>
          </w:tcPr>
          <w:p>
            <w:pPr>
              <w:widowControl/>
              <w:jc w:val="center"/>
              <w:textAlignment w:val="center"/>
              <w:rPr>
                <w:rFonts w:ascii="宋体" w:hAnsi="宋体" w:eastAsia="宋体" w:cs="Times New Roman"/>
                <w:sz w:val="24"/>
              </w:rPr>
            </w:pPr>
            <w:r>
              <w:rPr>
                <w:rFonts w:ascii="宋体" w:hAnsi="宋体" w:eastAsia="宋体" w:cs="Times New Roman"/>
                <w:color w:val="000000"/>
                <w:kern w:val="0"/>
                <w:sz w:val="24"/>
                <w:lang w:bidi="ar"/>
              </w:rPr>
              <w:t>5</w:t>
            </w:r>
          </w:p>
        </w:tc>
        <w:tc>
          <w:tcPr>
            <w:tcW w:w="4269" w:type="dxa"/>
            <w:vAlign w:val="center"/>
          </w:tcPr>
          <w:p>
            <w:pPr>
              <w:rPr>
                <w:rFonts w:ascii="宋体" w:hAnsi="宋体" w:eastAsia="宋体" w:cs="仿宋_GB2312"/>
                <w:sz w:val="24"/>
              </w:rPr>
            </w:pPr>
            <w:r>
              <w:rPr>
                <w:rFonts w:hint="eastAsia" w:ascii="宋体" w:hAnsi="宋体" w:eastAsia="宋体" w:cs="仿宋_GB2312"/>
                <w:sz w:val="24"/>
              </w:rPr>
              <w:t>项目建成得5分，否则不得分。</w:t>
            </w:r>
          </w:p>
        </w:tc>
        <w:tc>
          <w:tcPr>
            <w:tcW w:w="1176" w:type="dxa"/>
            <w:vAlign w:val="center"/>
          </w:tcPr>
          <w:p>
            <w:pPr>
              <w:jc w:val="center"/>
              <w:rPr>
                <w:rFonts w:ascii="宋体" w:hAnsi="宋体" w:eastAsia="宋体" w:cs="Times New Roman"/>
                <w:sz w:val="24"/>
                <w:szCs w:val="24"/>
              </w:rPr>
            </w:pPr>
            <w:r>
              <w:rPr>
                <w:rFonts w:hint="eastAsia" w:ascii="宋体" w:hAnsi="宋体" w:eastAsia="宋体" w:cs="Times New Roman"/>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047" w:type="dxa"/>
            <w:vMerge w:val="continue"/>
          </w:tcPr>
          <w:p>
            <w:pPr>
              <w:jc w:val="center"/>
              <w:rPr>
                <w:rFonts w:ascii="宋体" w:hAnsi="宋体" w:eastAsia="宋体" w:cs="仿宋_GB2312"/>
                <w:sz w:val="24"/>
              </w:rPr>
            </w:pPr>
          </w:p>
        </w:tc>
        <w:tc>
          <w:tcPr>
            <w:tcW w:w="2047" w:type="dxa"/>
            <w:vMerge w:val="continue"/>
            <w:vAlign w:val="center"/>
          </w:tcPr>
          <w:p>
            <w:pPr>
              <w:jc w:val="center"/>
              <w:rPr>
                <w:rFonts w:ascii="宋体" w:hAnsi="宋体" w:eastAsia="宋体" w:cs="仿宋_GB2312"/>
                <w:sz w:val="24"/>
              </w:rPr>
            </w:pPr>
          </w:p>
        </w:tc>
        <w:tc>
          <w:tcPr>
            <w:tcW w:w="2047" w:type="dxa"/>
            <w:vAlign w:val="center"/>
          </w:tcPr>
          <w:p>
            <w:pPr>
              <w:jc w:val="center"/>
              <w:rPr>
                <w:rFonts w:ascii="宋体" w:hAnsi="宋体" w:eastAsia="宋体" w:cs="仿宋_GB2312"/>
                <w:sz w:val="24"/>
              </w:rPr>
            </w:pPr>
            <w:r>
              <w:rPr>
                <w:rFonts w:hint="eastAsia" w:ascii="宋体" w:hAnsi="宋体" w:eastAsia="宋体" w:cs="仿宋_GB2312"/>
                <w:sz w:val="24"/>
              </w:rPr>
              <w:t>项目验收情况</w:t>
            </w:r>
          </w:p>
        </w:tc>
        <w:tc>
          <w:tcPr>
            <w:tcW w:w="1262" w:type="dxa"/>
            <w:vAlign w:val="center"/>
          </w:tcPr>
          <w:p>
            <w:pPr>
              <w:jc w:val="center"/>
              <w:rPr>
                <w:rFonts w:ascii="宋体" w:hAnsi="宋体" w:eastAsia="宋体" w:cs="仿宋_GB2312"/>
                <w:sz w:val="24"/>
              </w:rPr>
            </w:pPr>
            <w:r>
              <w:rPr>
                <w:rFonts w:hint="eastAsia" w:ascii="宋体" w:hAnsi="宋体" w:eastAsia="宋体" w:cs="仿宋_GB2312"/>
                <w:sz w:val="24"/>
              </w:rPr>
              <w:t>完成</w:t>
            </w:r>
          </w:p>
        </w:tc>
        <w:tc>
          <w:tcPr>
            <w:tcW w:w="1484" w:type="dxa"/>
            <w:vAlign w:val="center"/>
          </w:tcPr>
          <w:p>
            <w:pPr>
              <w:widowControl/>
              <w:jc w:val="center"/>
              <w:textAlignment w:val="center"/>
              <w:rPr>
                <w:rFonts w:ascii="宋体" w:hAnsi="宋体" w:eastAsia="宋体" w:cs="Times New Roman"/>
                <w:sz w:val="24"/>
              </w:rPr>
            </w:pPr>
            <w:r>
              <w:rPr>
                <w:rFonts w:ascii="宋体" w:hAnsi="宋体" w:eastAsia="宋体" w:cs="Times New Roman"/>
                <w:color w:val="000000"/>
                <w:kern w:val="0"/>
                <w:sz w:val="24"/>
                <w:lang w:bidi="ar"/>
              </w:rPr>
              <w:t>5</w:t>
            </w:r>
          </w:p>
        </w:tc>
        <w:tc>
          <w:tcPr>
            <w:tcW w:w="4269" w:type="dxa"/>
            <w:vAlign w:val="center"/>
          </w:tcPr>
          <w:p>
            <w:pPr>
              <w:rPr>
                <w:rFonts w:ascii="宋体" w:hAnsi="宋体" w:eastAsia="宋体" w:cs="仿宋_GB2312"/>
                <w:sz w:val="24"/>
              </w:rPr>
            </w:pPr>
            <w:r>
              <w:rPr>
                <w:rFonts w:hint="eastAsia" w:ascii="宋体" w:hAnsi="宋体" w:eastAsia="宋体" w:cs="仿宋_GB2312"/>
                <w:sz w:val="24"/>
              </w:rPr>
              <w:t>项目通过验收，取得竣工备案证得5分，否则不得分。</w:t>
            </w:r>
          </w:p>
        </w:tc>
        <w:tc>
          <w:tcPr>
            <w:tcW w:w="1176" w:type="dxa"/>
            <w:vAlign w:val="center"/>
          </w:tcPr>
          <w:p>
            <w:pPr>
              <w:jc w:val="center"/>
              <w:rPr>
                <w:rFonts w:ascii="宋体" w:hAnsi="宋体" w:eastAsia="宋体" w:cs="Times New Roman"/>
                <w:sz w:val="24"/>
                <w:szCs w:val="24"/>
              </w:rPr>
            </w:pPr>
            <w:r>
              <w:rPr>
                <w:rFonts w:hint="eastAsia" w:ascii="宋体" w:hAnsi="宋体" w:eastAsia="宋体" w:cs="Times New Roman"/>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047" w:type="dxa"/>
            <w:vMerge w:val="continue"/>
          </w:tcPr>
          <w:p>
            <w:pPr>
              <w:jc w:val="center"/>
              <w:rPr>
                <w:rFonts w:ascii="宋体" w:hAnsi="宋体" w:eastAsia="宋体" w:cs="仿宋_GB2312"/>
                <w:sz w:val="24"/>
              </w:rPr>
            </w:pPr>
          </w:p>
        </w:tc>
        <w:tc>
          <w:tcPr>
            <w:tcW w:w="2047" w:type="dxa"/>
            <w:vMerge w:val="continue"/>
            <w:vAlign w:val="center"/>
          </w:tcPr>
          <w:p>
            <w:pPr>
              <w:jc w:val="center"/>
              <w:rPr>
                <w:rFonts w:ascii="宋体" w:hAnsi="宋体" w:eastAsia="宋体" w:cs="仿宋_GB2312"/>
                <w:sz w:val="24"/>
              </w:rPr>
            </w:pPr>
          </w:p>
        </w:tc>
        <w:tc>
          <w:tcPr>
            <w:tcW w:w="2047" w:type="dxa"/>
            <w:vAlign w:val="center"/>
          </w:tcPr>
          <w:p>
            <w:pPr>
              <w:jc w:val="center"/>
              <w:rPr>
                <w:rFonts w:ascii="宋体" w:hAnsi="宋体" w:eastAsia="宋体" w:cs="仿宋_GB2312"/>
                <w:sz w:val="24"/>
              </w:rPr>
            </w:pPr>
            <w:r>
              <w:rPr>
                <w:rFonts w:hint="eastAsia" w:ascii="宋体" w:hAnsi="宋体" w:eastAsia="宋体" w:cs="仿宋_GB2312"/>
                <w:sz w:val="24"/>
              </w:rPr>
              <w:t>项目安全情况</w:t>
            </w:r>
          </w:p>
        </w:tc>
        <w:tc>
          <w:tcPr>
            <w:tcW w:w="1262" w:type="dxa"/>
            <w:vAlign w:val="center"/>
          </w:tcPr>
          <w:p>
            <w:pPr>
              <w:jc w:val="center"/>
              <w:rPr>
                <w:rFonts w:ascii="宋体" w:hAnsi="宋体" w:eastAsia="宋体" w:cs="仿宋_GB2312"/>
                <w:sz w:val="24"/>
              </w:rPr>
            </w:pPr>
            <w:r>
              <w:rPr>
                <w:rFonts w:hint="eastAsia" w:ascii="宋体" w:hAnsi="宋体" w:eastAsia="宋体" w:cs="仿宋_GB2312"/>
                <w:sz w:val="24"/>
              </w:rPr>
              <w:t>完成</w:t>
            </w:r>
          </w:p>
        </w:tc>
        <w:tc>
          <w:tcPr>
            <w:tcW w:w="1484" w:type="dxa"/>
            <w:vAlign w:val="center"/>
          </w:tcPr>
          <w:p>
            <w:pPr>
              <w:widowControl/>
              <w:jc w:val="center"/>
              <w:textAlignment w:val="center"/>
              <w:rPr>
                <w:rFonts w:ascii="宋体" w:hAnsi="宋体" w:eastAsia="宋体" w:cs="Times New Roman"/>
                <w:sz w:val="24"/>
              </w:rPr>
            </w:pPr>
            <w:r>
              <w:rPr>
                <w:rFonts w:ascii="宋体" w:hAnsi="宋体" w:eastAsia="宋体" w:cs="Times New Roman"/>
                <w:color w:val="000000"/>
                <w:kern w:val="0"/>
                <w:sz w:val="24"/>
                <w:lang w:bidi="ar"/>
              </w:rPr>
              <w:t>5</w:t>
            </w:r>
          </w:p>
        </w:tc>
        <w:tc>
          <w:tcPr>
            <w:tcW w:w="4269" w:type="dxa"/>
            <w:vAlign w:val="center"/>
          </w:tcPr>
          <w:p>
            <w:pPr>
              <w:rPr>
                <w:rFonts w:ascii="宋体" w:hAnsi="宋体" w:eastAsia="宋体" w:cs="仿宋_GB2312"/>
                <w:sz w:val="24"/>
              </w:rPr>
            </w:pPr>
            <w:r>
              <w:rPr>
                <w:rFonts w:hint="eastAsia" w:ascii="宋体" w:hAnsi="宋体" w:eastAsia="宋体" w:cs="仿宋_GB2312"/>
                <w:sz w:val="24"/>
              </w:rPr>
              <w:t>项目实施期间，无重大安全责任事故得5分，否则不得分。</w:t>
            </w:r>
          </w:p>
        </w:tc>
        <w:tc>
          <w:tcPr>
            <w:tcW w:w="1176" w:type="dxa"/>
            <w:vAlign w:val="center"/>
          </w:tcPr>
          <w:p>
            <w:pPr>
              <w:jc w:val="center"/>
              <w:rPr>
                <w:rFonts w:ascii="宋体" w:hAnsi="宋体" w:eastAsia="宋体" w:cs="Times New Roman"/>
                <w:sz w:val="24"/>
                <w:szCs w:val="24"/>
              </w:rPr>
            </w:pPr>
            <w:r>
              <w:rPr>
                <w:rFonts w:hint="eastAsia" w:ascii="宋体" w:hAnsi="宋体" w:eastAsia="宋体" w:cs="Times New Roman"/>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047" w:type="dxa"/>
            <w:vMerge w:val="continue"/>
          </w:tcPr>
          <w:p>
            <w:pPr>
              <w:jc w:val="center"/>
              <w:rPr>
                <w:rFonts w:ascii="宋体" w:hAnsi="宋体" w:eastAsia="宋体" w:cs="仿宋_GB2312"/>
                <w:sz w:val="24"/>
              </w:rPr>
            </w:pPr>
          </w:p>
        </w:tc>
        <w:tc>
          <w:tcPr>
            <w:tcW w:w="2047" w:type="dxa"/>
            <w:vMerge w:val="continue"/>
            <w:vAlign w:val="center"/>
          </w:tcPr>
          <w:p>
            <w:pPr>
              <w:jc w:val="center"/>
              <w:rPr>
                <w:rFonts w:ascii="宋体" w:hAnsi="宋体" w:eastAsia="宋体" w:cs="仿宋_GB2312"/>
                <w:sz w:val="24"/>
              </w:rPr>
            </w:pPr>
          </w:p>
        </w:tc>
        <w:tc>
          <w:tcPr>
            <w:tcW w:w="2047" w:type="dxa"/>
            <w:vAlign w:val="center"/>
          </w:tcPr>
          <w:p>
            <w:pPr>
              <w:jc w:val="center"/>
              <w:rPr>
                <w:rFonts w:ascii="宋体" w:hAnsi="宋体" w:eastAsia="宋体" w:cs="仿宋_GB2312"/>
                <w:sz w:val="24"/>
              </w:rPr>
            </w:pPr>
            <w:r>
              <w:rPr>
                <w:rFonts w:hint="eastAsia" w:ascii="宋体" w:hAnsi="宋体" w:eastAsia="宋体" w:cs="仿宋_GB2312"/>
                <w:sz w:val="24"/>
              </w:rPr>
              <w:t>消防验收情况</w:t>
            </w:r>
          </w:p>
        </w:tc>
        <w:tc>
          <w:tcPr>
            <w:tcW w:w="1262" w:type="dxa"/>
            <w:vAlign w:val="center"/>
          </w:tcPr>
          <w:p>
            <w:pPr>
              <w:jc w:val="center"/>
              <w:rPr>
                <w:rFonts w:ascii="宋体" w:hAnsi="宋体" w:eastAsia="宋体" w:cs="仿宋_GB2312"/>
                <w:sz w:val="24"/>
              </w:rPr>
            </w:pPr>
            <w:r>
              <w:rPr>
                <w:rFonts w:hint="eastAsia" w:ascii="宋体" w:hAnsi="宋体" w:eastAsia="宋体" w:cs="仿宋_GB2312"/>
                <w:sz w:val="24"/>
              </w:rPr>
              <w:t>完成</w:t>
            </w:r>
          </w:p>
        </w:tc>
        <w:tc>
          <w:tcPr>
            <w:tcW w:w="1484" w:type="dxa"/>
            <w:vAlign w:val="center"/>
          </w:tcPr>
          <w:p>
            <w:pPr>
              <w:widowControl/>
              <w:jc w:val="center"/>
              <w:textAlignment w:val="center"/>
              <w:rPr>
                <w:rFonts w:ascii="宋体" w:hAnsi="宋体" w:eastAsia="宋体" w:cs="Times New Roman"/>
                <w:sz w:val="24"/>
              </w:rPr>
            </w:pPr>
            <w:r>
              <w:rPr>
                <w:rFonts w:ascii="宋体" w:hAnsi="宋体" w:eastAsia="宋体" w:cs="Times New Roman"/>
                <w:color w:val="000000"/>
                <w:kern w:val="0"/>
                <w:sz w:val="24"/>
                <w:lang w:bidi="ar"/>
              </w:rPr>
              <w:t>5</w:t>
            </w:r>
          </w:p>
        </w:tc>
        <w:tc>
          <w:tcPr>
            <w:tcW w:w="4269" w:type="dxa"/>
            <w:vAlign w:val="center"/>
          </w:tcPr>
          <w:p>
            <w:pPr>
              <w:rPr>
                <w:rFonts w:ascii="宋体" w:hAnsi="宋体" w:eastAsia="宋体" w:cs="仿宋_GB2312"/>
                <w:sz w:val="24"/>
              </w:rPr>
            </w:pPr>
            <w:r>
              <w:rPr>
                <w:rFonts w:hint="eastAsia" w:ascii="宋体" w:hAnsi="宋体" w:eastAsia="宋体" w:cs="仿宋_GB2312"/>
                <w:sz w:val="24"/>
              </w:rPr>
              <w:t>取得住建部门消防专业验收通过得5分，否则不得分。</w:t>
            </w:r>
          </w:p>
        </w:tc>
        <w:tc>
          <w:tcPr>
            <w:tcW w:w="1176" w:type="dxa"/>
            <w:vAlign w:val="center"/>
          </w:tcPr>
          <w:p>
            <w:pPr>
              <w:jc w:val="center"/>
              <w:rPr>
                <w:rFonts w:ascii="宋体" w:hAnsi="宋体" w:eastAsia="宋体" w:cs="Times New Roman"/>
                <w:sz w:val="24"/>
                <w:szCs w:val="24"/>
              </w:rPr>
            </w:pPr>
            <w:r>
              <w:rPr>
                <w:rFonts w:hint="eastAsia" w:ascii="宋体" w:hAnsi="宋体" w:eastAsia="宋体" w:cs="Times New Roman"/>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047" w:type="dxa"/>
            <w:vMerge w:val="continue"/>
          </w:tcPr>
          <w:p>
            <w:pPr>
              <w:jc w:val="center"/>
              <w:rPr>
                <w:rFonts w:ascii="宋体" w:hAnsi="宋体" w:eastAsia="宋体"/>
                <w:sz w:val="24"/>
              </w:rPr>
            </w:pPr>
          </w:p>
        </w:tc>
        <w:tc>
          <w:tcPr>
            <w:tcW w:w="2047" w:type="dxa"/>
            <w:vMerge w:val="continue"/>
            <w:vAlign w:val="center"/>
          </w:tcPr>
          <w:p>
            <w:pPr>
              <w:jc w:val="center"/>
              <w:rPr>
                <w:rFonts w:ascii="宋体" w:hAnsi="宋体" w:eastAsia="宋体"/>
                <w:sz w:val="24"/>
              </w:rPr>
            </w:pPr>
          </w:p>
        </w:tc>
        <w:tc>
          <w:tcPr>
            <w:tcW w:w="2047" w:type="dxa"/>
            <w:vAlign w:val="center"/>
          </w:tcPr>
          <w:p>
            <w:pPr>
              <w:jc w:val="center"/>
              <w:rPr>
                <w:rFonts w:ascii="宋体" w:hAnsi="宋体" w:eastAsia="宋体" w:cs="仿宋_GB2312"/>
                <w:sz w:val="24"/>
              </w:rPr>
            </w:pPr>
            <w:r>
              <w:rPr>
                <w:rFonts w:hint="eastAsia" w:ascii="宋体" w:hAnsi="宋体" w:eastAsia="宋体" w:cs="仿宋_GB2312"/>
                <w:sz w:val="24"/>
              </w:rPr>
              <w:t>疫情防控情况</w:t>
            </w:r>
          </w:p>
        </w:tc>
        <w:tc>
          <w:tcPr>
            <w:tcW w:w="1262" w:type="dxa"/>
            <w:vAlign w:val="center"/>
          </w:tcPr>
          <w:p>
            <w:pPr>
              <w:jc w:val="center"/>
              <w:rPr>
                <w:rFonts w:ascii="宋体" w:hAnsi="宋体" w:eastAsia="宋体" w:cs="仿宋_GB2312"/>
                <w:sz w:val="24"/>
              </w:rPr>
            </w:pPr>
            <w:r>
              <w:rPr>
                <w:rFonts w:hint="eastAsia" w:ascii="宋体" w:hAnsi="宋体" w:eastAsia="宋体" w:cs="仿宋_GB2312"/>
                <w:sz w:val="24"/>
              </w:rPr>
              <w:t>优秀</w:t>
            </w:r>
          </w:p>
        </w:tc>
        <w:tc>
          <w:tcPr>
            <w:tcW w:w="1484" w:type="dxa"/>
            <w:vAlign w:val="center"/>
          </w:tcPr>
          <w:p>
            <w:pPr>
              <w:widowControl/>
              <w:jc w:val="center"/>
              <w:textAlignment w:val="center"/>
              <w:rPr>
                <w:rFonts w:ascii="宋体" w:hAnsi="宋体" w:eastAsia="宋体" w:cs="Times New Roman"/>
                <w:sz w:val="24"/>
              </w:rPr>
            </w:pPr>
            <w:r>
              <w:rPr>
                <w:rFonts w:ascii="宋体" w:hAnsi="宋体" w:eastAsia="宋体" w:cs="Times New Roman"/>
                <w:color w:val="000000"/>
                <w:kern w:val="0"/>
                <w:sz w:val="24"/>
                <w:lang w:bidi="ar"/>
              </w:rPr>
              <w:t>5</w:t>
            </w:r>
          </w:p>
        </w:tc>
        <w:tc>
          <w:tcPr>
            <w:tcW w:w="4269" w:type="dxa"/>
            <w:vAlign w:val="center"/>
          </w:tcPr>
          <w:p>
            <w:pPr>
              <w:rPr>
                <w:rFonts w:ascii="宋体" w:hAnsi="宋体" w:eastAsia="宋体" w:cs="仿宋_GB2312"/>
                <w:sz w:val="24"/>
              </w:rPr>
            </w:pPr>
            <w:r>
              <w:rPr>
                <w:rFonts w:hint="eastAsia" w:ascii="宋体" w:hAnsi="宋体" w:eastAsia="宋体" w:cs="仿宋_GB2312"/>
                <w:sz w:val="24"/>
              </w:rPr>
              <w:t>施工期间，未发生一起疫情传播，防控效果优秀得5分。</w:t>
            </w:r>
          </w:p>
        </w:tc>
        <w:tc>
          <w:tcPr>
            <w:tcW w:w="1176" w:type="dxa"/>
            <w:vAlign w:val="center"/>
          </w:tcPr>
          <w:p>
            <w:pPr>
              <w:jc w:val="center"/>
              <w:rPr>
                <w:rFonts w:ascii="宋体" w:hAnsi="宋体" w:eastAsia="宋体" w:cs="Times New Roman"/>
                <w:sz w:val="24"/>
                <w:szCs w:val="24"/>
              </w:rPr>
            </w:pPr>
            <w:r>
              <w:rPr>
                <w:rFonts w:hint="eastAsia" w:ascii="宋体" w:hAnsi="宋体" w:eastAsia="宋体" w:cs="Times New Roman"/>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047" w:type="dxa"/>
            <w:vMerge w:val="continue"/>
          </w:tcPr>
          <w:p>
            <w:pPr>
              <w:jc w:val="center"/>
              <w:rPr>
                <w:rFonts w:ascii="宋体" w:hAnsi="宋体" w:eastAsia="宋体"/>
                <w:sz w:val="24"/>
              </w:rPr>
            </w:pPr>
          </w:p>
        </w:tc>
        <w:tc>
          <w:tcPr>
            <w:tcW w:w="2047" w:type="dxa"/>
            <w:vMerge w:val="continue"/>
            <w:vAlign w:val="center"/>
          </w:tcPr>
          <w:p>
            <w:pPr>
              <w:jc w:val="center"/>
              <w:rPr>
                <w:rFonts w:ascii="宋体" w:hAnsi="宋体" w:eastAsia="宋体"/>
                <w:sz w:val="24"/>
              </w:rPr>
            </w:pPr>
          </w:p>
        </w:tc>
        <w:tc>
          <w:tcPr>
            <w:tcW w:w="2047" w:type="dxa"/>
            <w:vAlign w:val="center"/>
          </w:tcPr>
          <w:p>
            <w:pPr>
              <w:jc w:val="center"/>
              <w:rPr>
                <w:rFonts w:ascii="宋体" w:hAnsi="宋体" w:eastAsia="宋体" w:cs="仿宋_GB2312"/>
                <w:sz w:val="24"/>
              </w:rPr>
            </w:pPr>
            <w:r>
              <w:rPr>
                <w:rFonts w:hint="eastAsia" w:ascii="宋体" w:hAnsi="宋体" w:eastAsia="宋体" w:cs="仿宋_GB2312"/>
                <w:sz w:val="24"/>
              </w:rPr>
              <w:t>环境检测情况</w:t>
            </w:r>
          </w:p>
        </w:tc>
        <w:tc>
          <w:tcPr>
            <w:tcW w:w="1262" w:type="dxa"/>
            <w:vAlign w:val="center"/>
          </w:tcPr>
          <w:p>
            <w:pPr>
              <w:jc w:val="center"/>
              <w:rPr>
                <w:rFonts w:ascii="宋体" w:hAnsi="宋体" w:eastAsia="宋体" w:cs="仿宋_GB2312"/>
                <w:sz w:val="24"/>
              </w:rPr>
            </w:pPr>
            <w:r>
              <w:rPr>
                <w:rFonts w:hint="eastAsia" w:ascii="宋体" w:hAnsi="宋体" w:eastAsia="宋体" w:cs="仿宋_GB2312"/>
                <w:sz w:val="24"/>
              </w:rPr>
              <w:t>合格</w:t>
            </w:r>
          </w:p>
        </w:tc>
        <w:tc>
          <w:tcPr>
            <w:tcW w:w="1484" w:type="dxa"/>
            <w:vAlign w:val="center"/>
          </w:tcPr>
          <w:p>
            <w:pPr>
              <w:widowControl/>
              <w:jc w:val="center"/>
              <w:textAlignment w:val="center"/>
              <w:rPr>
                <w:rFonts w:ascii="宋体" w:hAnsi="宋体" w:eastAsia="宋体" w:cs="Times New Roman"/>
                <w:sz w:val="24"/>
              </w:rPr>
            </w:pPr>
            <w:r>
              <w:rPr>
                <w:rFonts w:ascii="宋体" w:hAnsi="宋体" w:eastAsia="宋体" w:cs="Times New Roman"/>
                <w:color w:val="000000"/>
                <w:kern w:val="0"/>
                <w:sz w:val="24"/>
                <w:lang w:bidi="ar"/>
              </w:rPr>
              <w:t>5</w:t>
            </w:r>
          </w:p>
        </w:tc>
        <w:tc>
          <w:tcPr>
            <w:tcW w:w="4269" w:type="dxa"/>
            <w:vAlign w:val="center"/>
          </w:tcPr>
          <w:p>
            <w:pPr>
              <w:rPr>
                <w:rFonts w:ascii="宋体" w:hAnsi="宋体" w:eastAsia="宋体" w:cs="仿宋_GB2312"/>
                <w:sz w:val="24"/>
              </w:rPr>
            </w:pPr>
            <w:r>
              <w:rPr>
                <w:rFonts w:hint="eastAsia" w:ascii="宋体" w:hAnsi="宋体" w:eastAsia="宋体" w:cs="仿宋_GB2312"/>
                <w:sz w:val="24"/>
              </w:rPr>
              <w:t>经专业检测机构检测，检测结果均为合格，得5分，否则不得分。</w:t>
            </w:r>
          </w:p>
        </w:tc>
        <w:tc>
          <w:tcPr>
            <w:tcW w:w="1176" w:type="dxa"/>
            <w:vAlign w:val="center"/>
          </w:tcPr>
          <w:p>
            <w:pPr>
              <w:jc w:val="center"/>
              <w:rPr>
                <w:rFonts w:ascii="宋体" w:hAnsi="宋体" w:eastAsia="宋体" w:cs="Times New Roman"/>
                <w:sz w:val="24"/>
                <w:szCs w:val="24"/>
              </w:rPr>
            </w:pPr>
            <w:r>
              <w:rPr>
                <w:rFonts w:hint="eastAsia" w:ascii="宋体" w:hAnsi="宋体" w:eastAsia="宋体" w:cs="Times New Roman"/>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047" w:type="dxa"/>
            <w:vMerge w:val="continue"/>
          </w:tcPr>
          <w:p>
            <w:pPr>
              <w:jc w:val="center"/>
              <w:rPr>
                <w:rFonts w:ascii="宋体" w:hAnsi="宋体" w:eastAsia="宋体"/>
                <w:sz w:val="24"/>
              </w:rPr>
            </w:pPr>
          </w:p>
        </w:tc>
        <w:tc>
          <w:tcPr>
            <w:tcW w:w="2047" w:type="dxa"/>
            <w:vMerge w:val="continue"/>
            <w:vAlign w:val="center"/>
          </w:tcPr>
          <w:p>
            <w:pPr>
              <w:jc w:val="center"/>
              <w:rPr>
                <w:rFonts w:ascii="宋体" w:hAnsi="宋体" w:eastAsia="宋体"/>
                <w:sz w:val="24"/>
              </w:rPr>
            </w:pPr>
          </w:p>
        </w:tc>
        <w:tc>
          <w:tcPr>
            <w:tcW w:w="2047" w:type="dxa"/>
            <w:vAlign w:val="center"/>
          </w:tcPr>
          <w:p>
            <w:pPr>
              <w:jc w:val="center"/>
              <w:rPr>
                <w:rFonts w:ascii="宋体" w:hAnsi="宋体" w:eastAsia="宋体" w:cs="仿宋_GB2312"/>
                <w:sz w:val="24"/>
              </w:rPr>
            </w:pPr>
            <w:r>
              <w:rPr>
                <w:rFonts w:hint="eastAsia" w:ascii="宋体" w:hAnsi="宋体" w:eastAsia="宋体" w:cs="仿宋_GB2312"/>
                <w:sz w:val="24"/>
              </w:rPr>
              <w:t>材料检测情况</w:t>
            </w:r>
          </w:p>
        </w:tc>
        <w:tc>
          <w:tcPr>
            <w:tcW w:w="1262" w:type="dxa"/>
            <w:vAlign w:val="center"/>
          </w:tcPr>
          <w:p>
            <w:pPr>
              <w:jc w:val="center"/>
              <w:rPr>
                <w:rFonts w:ascii="宋体" w:hAnsi="宋体" w:eastAsia="宋体" w:cs="仿宋_GB2312"/>
                <w:sz w:val="24"/>
              </w:rPr>
            </w:pPr>
            <w:r>
              <w:rPr>
                <w:rFonts w:hint="eastAsia" w:ascii="宋体" w:hAnsi="宋体" w:eastAsia="宋体" w:cs="仿宋_GB2312"/>
                <w:sz w:val="24"/>
              </w:rPr>
              <w:t>合格</w:t>
            </w:r>
          </w:p>
        </w:tc>
        <w:tc>
          <w:tcPr>
            <w:tcW w:w="1484" w:type="dxa"/>
            <w:vAlign w:val="center"/>
          </w:tcPr>
          <w:p>
            <w:pPr>
              <w:widowControl/>
              <w:jc w:val="center"/>
              <w:textAlignment w:val="center"/>
              <w:rPr>
                <w:rFonts w:ascii="宋体" w:hAnsi="宋体" w:eastAsia="宋体" w:cs="Times New Roman"/>
                <w:sz w:val="24"/>
              </w:rPr>
            </w:pPr>
            <w:r>
              <w:rPr>
                <w:rFonts w:ascii="宋体" w:hAnsi="宋体" w:eastAsia="宋体" w:cs="Times New Roman"/>
                <w:color w:val="000000"/>
                <w:kern w:val="0"/>
                <w:sz w:val="24"/>
                <w:lang w:bidi="ar"/>
              </w:rPr>
              <w:t>5</w:t>
            </w:r>
          </w:p>
        </w:tc>
        <w:tc>
          <w:tcPr>
            <w:tcW w:w="4269" w:type="dxa"/>
            <w:vAlign w:val="center"/>
          </w:tcPr>
          <w:p>
            <w:pPr>
              <w:rPr>
                <w:rFonts w:ascii="宋体" w:hAnsi="宋体" w:eastAsia="宋体" w:cs="仿宋_GB2312"/>
                <w:sz w:val="24"/>
              </w:rPr>
            </w:pPr>
            <w:r>
              <w:rPr>
                <w:rFonts w:hint="eastAsia" w:ascii="宋体" w:hAnsi="宋体" w:eastAsia="宋体" w:cs="仿宋_GB2312"/>
                <w:sz w:val="24"/>
              </w:rPr>
              <w:t>施工期间，建筑材料经第三方检测合格方可使用，得5分，否则不得分。</w:t>
            </w:r>
          </w:p>
        </w:tc>
        <w:tc>
          <w:tcPr>
            <w:tcW w:w="1176" w:type="dxa"/>
            <w:vAlign w:val="center"/>
          </w:tcPr>
          <w:p>
            <w:pPr>
              <w:jc w:val="center"/>
              <w:rPr>
                <w:rFonts w:ascii="宋体" w:hAnsi="宋体" w:eastAsia="宋体" w:cs="Times New Roman"/>
                <w:sz w:val="24"/>
                <w:szCs w:val="24"/>
              </w:rPr>
            </w:pPr>
            <w:r>
              <w:rPr>
                <w:rFonts w:hint="eastAsia" w:ascii="宋体" w:hAnsi="宋体" w:eastAsia="宋体" w:cs="Times New Roman"/>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047" w:type="dxa"/>
            <w:vMerge w:val="restart"/>
            <w:vAlign w:val="center"/>
          </w:tcPr>
          <w:p>
            <w:pPr>
              <w:jc w:val="center"/>
              <w:rPr>
                <w:rFonts w:ascii="宋体" w:hAnsi="宋体" w:eastAsia="宋体" w:cs="仿宋_GB2312"/>
                <w:sz w:val="24"/>
              </w:rPr>
            </w:pPr>
            <w:r>
              <w:rPr>
                <w:rFonts w:hint="eastAsia" w:ascii="宋体" w:hAnsi="宋体" w:eastAsia="宋体" w:cs="仿宋_GB2312"/>
                <w:sz w:val="24"/>
              </w:rPr>
              <w:t>效益</w:t>
            </w:r>
          </w:p>
        </w:tc>
        <w:tc>
          <w:tcPr>
            <w:tcW w:w="2047" w:type="dxa"/>
            <w:vMerge w:val="restart"/>
            <w:vAlign w:val="center"/>
          </w:tcPr>
          <w:p>
            <w:pPr>
              <w:jc w:val="center"/>
              <w:rPr>
                <w:rFonts w:ascii="宋体" w:hAnsi="宋体" w:eastAsia="宋体" w:cs="仿宋_GB2312"/>
                <w:sz w:val="24"/>
              </w:rPr>
            </w:pPr>
            <w:r>
              <w:rPr>
                <w:rFonts w:hint="eastAsia" w:ascii="宋体" w:hAnsi="宋体" w:eastAsia="宋体" w:cs="仿宋_GB2312"/>
                <w:sz w:val="24"/>
              </w:rPr>
              <w:t>项目效益</w:t>
            </w:r>
          </w:p>
        </w:tc>
        <w:tc>
          <w:tcPr>
            <w:tcW w:w="2047" w:type="dxa"/>
            <w:vAlign w:val="center"/>
          </w:tcPr>
          <w:p>
            <w:pPr>
              <w:jc w:val="center"/>
              <w:rPr>
                <w:rFonts w:ascii="宋体" w:hAnsi="宋体" w:eastAsia="宋体" w:cs="仿宋_GB2312"/>
                <w:sz w:val="24"/>
              </w:rPr>
            </w:pPr>
            <w:r>
              <w:rPr>
                <w:rFonts w:hint="eastAsia" w:ascii="宋体" w:hAnsi="宋体" w:eastAsia="宋体" w:cs="仿宋_GB2312"/>
                <w:sz w:val="24"/>
              </w:rPr>
              <w:t>社会效益</w:t>
            </w:r>
          </w:p>
        </w:tc>
        <w:tc>
          <w:tcPr>
            <w:tcW w:w="1262" w:type="dxa"/>
            <w:vAlign w:val="center"/>
          </w:tcPr>
          <w:p>
            <w:pPr>
              <w:jc w:val="center"/>
              <w:rPr>
                <w:rFonts w:ascii="宋体" w:hAnsi="宋体" w:eastAsia="宋体" w:cs="仿宋_GB2312"/>
                <w:sz w:val="24"/>
              </w:rPr>
            </w:pPr>
            <w:r>
              <w:rPr>
                <w:rFonts w:hint="eastAsia" w:ascii="宋体" w:hAnsi="宋体" w:eastAsia="宋体" w:cs="仿宋_GB2312"/>
                <w:sz w:val="24"/>
              </w:rPr>
              <w:t>显著</w:t>
            </w:r>
          </w:p>
        </w:tc>
        <w:tc>
          <w:tcPr>
            <w:tcW w:w="1484" w:type="dxa"/>
            <w:vAlign w:val="center"/>
          </w:tcPr>
          <w:p>
            <w:pPr>
              <w:widowControl/>
              <w:jc w:val="center"/>
              <w:textAlignment w:val="center"/>
              <w:rPr>
                <w:rFonts w:ascii="宋体" w:hAnsi="宋体" w:eastAsia="宋体" w:cs="Times New Roman"/>
                <w:sz w:val="24"/>
              </w:rPr>
            </w:pPr>
            <w:r>
              <w:rPr>
                <w:rFonts w:ascii="宋体" w:hAnsi="宋体" w:eastAsia="宋体" w:cs="Times New Roman"/>
                <w:color w:val="000000"/>
                <w:kern w:val="0"/>
                <w:sz w:val="24"/>
                <w:lang w:bidi="ar"/>
              </w:rPr>
              <w:t>5</w:t>
            </w:r>
          </w:p>
        </w:tc>
        <w:tc>
          <w:tcPr>
            <w:tcW w:w="4269" w:type="dxa"/>
            <w:vAlign w:val="center"/>
          </w:tcPr>
          <w:p>
            <w:pPr>
              <w:rPr>
                <w:rFonts w:ascii="宋体" w:hAnsi="宋体" w:eastAsia="宋体" w:cs="仿宋_GB2312"/>
                <w:sz w:val="24"/>
              </w:rPr>
            </w:pPr>
            <w:r>
              <w:rPr>
                <w:rFonts w:hint="eastAsia" w:ascii="宋体" w:hAnsi="宋体" w:eastAsia="宋体" w:cs="仿宋_GB2312"/>
                <w:sz w:val="24"/>
              </w:rPr>
              <w:t>配套能力建设项目建成后，教学实训中心设备具备安装调试条件，得5分。</w:t>
            </w:r>
          </w:p>
        </w:tc>
        <w:tc>
          <w:tcPr>
            <w:tcW w:w="1176" w:type="dxa"/>
            <w:vAlign w:val="center"/>
          </w:tcPr>
          <w:p>
            <w:pPr>
              <w:jc w:val="center"/>
              <w:rPr>
                <w:rFonts w:ascii="宋体" w:hAnsi="宋体" w:eastAsia="宋体" w:cs="Times New Roman"/>
                <w:sz w:val="24"/>
                <w:szCs w:val="24"/>
              </w:rPr>
            </w:pPr>
            <w:r>
              <w:rPr>
                <w:rFonts w:hint="eastAsia" w:ascii="宋体" w:hAnsi="宋体" w:eastAsia="宋体" w:cs="Times New Roman"/>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047" w:type="dxa"/>
            <w:vMerge w:val="continue"/>
          </w:tcPr>
          <w:p>
            <w:pPr>
              <w:jc w:val="center"/>
              <w:rPr>
                <w:rFonts w:ascii="宋体" w:hAnsi="宋体" w:eastAsia="宋体"/>
                <w:sz w:val="24"/>
              </w:rPr>
            </w:pPr>
          </w:p>
        </w:tc>
        <w:tc>
          <w:tcPr>
            <w:tcW w:w="2047" w:type="dxa"/>
            <w:vMerge w:val="continue"/>
            <w:vAlign w:val="center"/>
          </w:tcPr>
          <w:p>
            <w:pPr>
              <w:jc w:val="center"/>
              <w:rPr>
                <w:rFonts w:ascii="宋体" w:hAnsi="宋体" w:eastAsia="宋体"/>
                <w:sz w:val="24"/>
              </w:rPr>
            </w:pPr>
          </w:p>
        </w:tc>
        <w:tc>
          <w:tcPr>
            <w:tcW w:w="2047" w:type="dxa"/>
            <w:vAlign w:val="center"/>
          </w:tcPr>
          <w:p>
            <w:pPr>
              <w:jc w:val="center"/>
              <w:rPr>
                <w:rFonts w:ascii="宋体" w:hAnsi="宋体" w:eastAsia="宋体" w:cs="仿宋_GB2312"/>
                <w:sz w:val="24"/>
              </w:rPr>
            </w:pPr>
            <w:r>
              <w:rPr>
                <w:rFonts w:hint="eastAsia" w:ascii="宋体" w:hAnsi="宋体" w:eastAsia="宋体" w:cs="仿宋_GB2312"/>
                <w:sz w:val="24"/>
              </w:rPr>
              <w:t>环境效益</w:t>
            </w:r>
          </w:p>
        </w:tc>
        <w:tc>
          <w:tcPr>
            <w:tcW w:w="1262" w:type="dxa"/>
            <w:vAlign w:val="center"/>
          </w:tcPr>
          <w:p>
            <w:pPr>
              <w:jc w:val="center"/>
              <w:rPr>
                <w:rFonts w:ascii="宋体" w:hAnsi="宋体" w:eastAsia="宋体" w:cs="仿宋_GB2312"/>
                <w:sz w:val="24"/>
              </w:rPr>
            </w:pPr>
            <w:r>
              <w:rPr>
                <w:rFonts w:hint="eastAsia" w:ascii="宋体" w:hAnsi="宋体" w:eastAsia="宋体" w:cs="仿宋_GB2312"/>
                <w:sz w:val="24"/>
              </w:rPr>
              <w:t>显著</w:t>
            </w:r>
          </w:p>
        </w:tc>
        <w:tc>
          <w:tcPr>
            <w:tcW w:w="1484" w:type="dxa"/>
            <w:vAlign w:val="center"/>
          </w:tcPr>
          <w:p>
            <w:pPr>
              <w:widowControl/>
              <w:jc w:val="center"/>
              <w:textAlignment w:val="center"/>
              <w:rPr>
                <w:rFonts w:ascii="宋体" w:hAnsi="宋体" w:eastAsia="宋体" w:cs="Times New Roman"/>
                <w:sz w:val="24"/>
              </w:rPr>
            </w:pPr>
            <w:r>
              <w:rPr>
                <w:rFonts w:ascii="宋体" w:hAnsi="宋体" w:eastAsia="宋体" w:cs="Times New Roman"/>
                <w:color w:val="000000"/>
                <w:kern w:val="0"/>
                <w:sz w:val="24"/>
                <w:lang w:bidi="ar"/>
              </w:rPr>
              <w:t>5</w:t>
            </w:r>
          </w:p>
        </w:tc>
        <w:tc>
          <w:tcPr>
            <w:tcW w:w="4269" w:type="dxa"/>
            <w:vAlign w:val="center"/>
          </w:tcPr>
          <w:p>
            <w:pPr>
              <w:rPr>
                <w:rFonts w:ascii="宋体" w:hAnsi="宋体" w:eastAsia="宋体" w:cs="仿宋_GB2312"/>
                <w:sz w:val="24"/>
              </w:rPr>
            </w:pPr>
            <w:r>
              <w:rPr>
                <w:rFonts w:hint="eastAsia" w:ascii="宋体" w:hAnsi="宋体" w:eastAsia="宋体" w:cs="仿宋_GB2312"/>
                <w:sz w:val="24"/>
              </w:rPr>
              <w:t>项目实施后，各楼层及教室内照明、环境氛围得到极大改善，提升效果显著得5分。</w:t>
            </w:r>
          </w:p>
        </w:tc>
        <w:tc>
          <w:tcPr>
            <w:tcW w:w="1176" w:type="dxa"/>
            <w:vAlign w:val="center"/>
          </w:tcPr>
          <w:p>
            <w:pPr>
              <w:jc w:val="center"/>
              <w:rPr>
                <w:rFonts w:ascii="宋体" w:hAnsi="宋体" w:eastAsia="宋体" w:cs="Times New Roman"/>
                <w:sz w:val="24"/>
                <w:szCs w:val="24"/>
              </w:rPr>
            </w:pPr>
            <w:r>
              <w:rPr>
                <w:rFonts w:hint="eastAsia" w:ascii="宋体" w:hAnsi="宋体" w:eastAsia="宋体" w:cs="Times New Roman"/>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047" w:type="dxa"/>
            <w:vMerge w:val="continue"/>
          </w:tcPr>
          <w:p>
            <w:pPr>
              <w:jc w:val="center"/>
              <w:rPr>
                <w:rFonts w:ascii="宋体" w:hAnsi="宋体" w:eastAsia="宋体"/>
                <w:sz w:val="24"/>
              </w:rPr>
            </w:pPr>
          </w:p>
        </w:tc>
        <w:tc>
          <w:tcPr>
            <w:tcW w:w="2047" w:type="dxa"/>
            <w:vMerge w:val="continue"/>
            <w:vAlign w:val="center"/>
          </w:tcPr>
          <w:p>
            <w:pPr>
              <w:jc w:val="center"/>
              <w:rPr>
                <w:rFonts w:ascii="宋体" w:hAnsi="宋体" w:eastAsia="宋体"/>
                <w:sz w:val="24"/>
              </w:rPr>
            </w:pPr>
          </w:p>
        </w:tc>
        <w:tc>
          <w:tcPr>
            <w:tcW w:w="2047" w:type="dxa"/>
            <w:vAlign w:val="center"/>
          </w:tcPr>
          <w:p>
            <w:pPr>
              <w:jc w:val="center"/>
              <w:rPr>
                <w:rFonts w:ascii="宋体" w:hAnsi="宋体" w:eastAsia="宋体" w:cs="仿宋_GB2312"/>
                <w:sz w:val="24"/>
              </w:rPr>
            </w:pPr>
            <w:r>
              <w:rPr>
                <w:rFonts w:hint="eastAsia" w:ascii="宋体" w:hAnsi="宋体" w:eastAsia="宋体" w:cs="仿宋_GB2312"/>
                <w:sz w:val="24"/>
              </w:rPr>
              <w:t>可持续性</w:t>
            </w:r>
          </w:p>
        </w:tc>
        <w:tc>
          <w:tcPr>
            <w:tcW w:w="1262" w:type="dxa"/>
            <w:vAlign w:val="center"/>
          </w:tcPr>
          <w:p>
            <w:pPr>
              <w:jc w:val="center"/>
              <w:rPr>
                <w:rFonts w:ascii="宋体" w:hAnsi="宋体" w:eastAsia="宋体" w:cs="仿宋_GB2312"/>
                <w:sz w:val="24"/>
              </w:rPr>
            </w:pPr>
            <w:r>
              <w:rPr>
                <w:rFonts w:hint="eastAsia" w:ascii="宋体" w:hAnsi="宋体" w:eastAsia="宋体" w:cs="仿宋_GB2312"/>
                <w:sz w:val="24"/>
              </w:rPr>
              <w:t>显著</w:t>
            </w:r>
          </w:p>
        </w:tc>
        <w:tc>
          <w:tcPr>
            <w:tcW w:w="1484" w:type="dxa"/>
            <w:vAlign w:val="center"/>
          </w:tcPr>
          <w:p>
            <w:pPr>
              <w:widowControl/>
              <w:jc w:val="center"/>
              <w:textAlignment w:val="center"/>
              <w:rPr>
                <w:rFonts w:ascii="宋体" w:hAnsi="宋体" w:eastAsia="宋体" w:cs="Times New Roman"/>
                <w:sz w:val="24"/>
              </w:rPr>
            </w:pPr>
            <w:r>
              <w:rPr>
                <w:rFonts w:ascii="宋体" w:hAnsi="宋体" w:eastAsia="宋体" w:cs="Times New Roman"/>
                <w:color w:val="000000"/>
                <w:kern w:val="0"/>
                <w:sz w:val="24"/>
                <w:lang w:bidi="ar"/>
              </w:rPr>
              <w:t>5</w:t>
            </w:r>
          </w:p>
        </w:tc>
        <w:tc>
          <w:tcPr>
            <w:tcW w:w="4269" w:type="dxa"/>
            <w:vAlign w:val="center"/>
          </w:tcPr>
          <w:p>
            <w:pPr>
              <w:rPr>
                <w:rFonts w:ascii="宋体" w:hAnsi="宋体" w:eastAsia="宋体" w:cs="仿宋_GB2312"/>
                <w:sz w:val="24"/>
              </w:rPr>
            </w:pPr>
            <w:r>
              <w:rPr>
                <w:rFonts w:hint="eastAsia" w:ascii="宋体" w:hAnsi="宋体" w:eastAsia="宋体" w:cs="仿宋_GB2312"/>
                <w:sz w:val="24"/>
              </w:rPr>
              <w:t>项目完成后，为发挥实训效能提供保障，可持续性强。</w:t>
            </w:r>
          </w:p>
        </w:tc>
        <w:tc>
          <w:tcPr>
            <w:tcW w:w="1176" w:type="dxa"/>
            <w:vAlign w:val="center"/>
          </w:tcPr>
          <w:p>
            <w:pPr>
              <w:jc w:val="center"/>
              <w:rPr>
                <w:rFonts w:ascii="宋体" w:hAnsi="宋体" w:eastAsia="宋体" w:cs="Times New Roman"/>
                <w:sz w:val="24"/>
                <w:szCs w:val="24"/>
              </w:rPr>
            </w:pPr>
            <w:r>
              <w:rPr>
                <w:rFonts w:hint="eastAsia" w:ascii="宋体" w:hAnsi="宋体" w:eastAsia="宋体" w:cs="Times New Roman"/>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047" w:type="dxa"/>
            <w:vMerge w:val="continue"/>
          </w:tcPr>
          <w:p>
            <w:pPr>
              <w:jc w:val="center"/>
              <w:rPr>
                <w:rFonts w:ascii="宋体" w:hAnsi="宋体" w:eastAsia="宋体"/>
                <w:sz w:val="24"/>
              </w:rPr>
            </w:pPr>
          </w:p>
        </w:tc>
        <w:tc>
          <w:tcPr>
            <w:tcW w:w="2047" w:type="dxa"/>
            <w:vMerge w:val="continue"/>
            <w:vAlign w:val="center"/>
          </w:tcPr>
          <w:p>
            <w:pPr>
              <w:jc w:val="center"/>
              <w:rPr>
                <w:rFonts w:ascii="宋体" w:hAnsi="宋体" w:eastAsia="宋体"/>
                <w:sz w:val="24"/>
              </w:rPr>
            </w:pPr>
          </w:p>
        </w:tc>
        <w:tc>
          <w:tcPr>
            <w:tcW w:w="2047" w:type="dxa"/>
            <w:vAlign w:val="center"/>
          </w:tcPr>
          <w:p>
            <w:pPr>
              <w:jc w:val="center"/>
              <w:rPr>
                <w:rFonts w:ascii="宋体" w:hAnsi="宋体" w:eastAsia="宋体" w:cs="仿宋_GB2312"/>
                <w:sz w:val="24"/>
              </w:rPr>
            </w:pPr>
            <w:r>
              <w:rPr>
                <w:rFonts w:hint="eastAsia" w:ascii="宋体" w:hAnsi="宋体" w:eastAsia="宋体" w:cs="仿宋_GB2312"/>
                <w:sz w:val="24"/>
              </w:rPr>
              <w:t>使用部门满意度</w:t>
            </w:r>
          </w:p>
        </w:tc>
        <w:tc>
          <w:tcPr>
            <w:tcW w:w="1262" w:type="dxa"/>
            <w:vAlign w:val="center"/>
          </w:tcPr>
          <w:p>
            <w:pPr>
              <w:jc w:val="center"/>
              <w:rPr>
                <w:rFonts w:ascii="宋体" w:hAnsi="宋体" w:eastAsia="宋体" w:cs="仿宋_GB2312"/>
                <w:sz w:val="24"/>
              </w:rPr>
            </w:pPr>
            <w:r>
              <w:rPr>
                <w:rFonts w:hint="eastAsia" w:ascii="宋体" w:hAnsi="宋体" w:eastAsia="宋体" w:cs="仿宋_GB2312"/>
                <w:sz w:val="24"/>
              </w:rPr>
              <w:t>较好</w:t>
            </w:r>
          </w:p>
        </w:tc>
        <w:tc>
          <w:tcPr>
            <w:tcW w:w="1484" w:type="dxa"/>
            <w:vAlign w:val="center"/>
          </w:tcPr>
          <w:p>
            <w:pPr>
              <w:widowControl/>
              <w:jc w:val="center"/>
              <w:textAlignment w:val="center"/>
              <w:rPr>
                <w:rFonts w:ascii="宋体" w:hAnsi="宋体" w:eastAsia="宋体" w:cs="Times New Roman"/>
                <w:sz w:val="24"/>
              </w:rPr>
            </w:pPr>
            <w:r>
              <w:rPr>
                <w:rFonts w:ascii="宋体" w:hAnsi="宋体" w:eastAsia="宋体" w:cs="Times New Roman"/>
                <w:color w:val="000000"/>
                <w:kern w:val="0"/>
                <w:sz w:val="24"/>
                <w:lang w:bidi="ar"/>
              </w:rPr>
              <w:t>5</w:t>
            </w:r>
          </w:p>
        </w:tc>
        <w:tc>
          <w:tcPr>
            <w:tcW w:w="4269" w:type="dxa"/>
            <w:vAlign w:val="center"/>
          </w:tcPr>
          <w:p>
            <w:pPr>
              <w:rPr>
                <w:rFonts w:ascii="宋体" w:hAnsi="宋体" w:eastAsia="宋体" w:cs="仿宋_GB2312"/>
                <w:sz w:val="24"/>
              </w:rPr>
            </w:pPr>
            <w:r>
              <w:rPr>
                <w:rFonts w:hint="eastAsia" w:ascii="宋体" w:hAnsi="宋体" w:eastAsia="宋体" w:cs="仿宋_GB2312"/>
                <w:sz w:val="24"/>
              </w:rPr>
              <w:t>使用满意度好得5分，较好的4分，基本满意得3分。</w:t>
            </w:r>
          </w:p>
        </w:tc>
        <w:tc>
          <w:tcPr>
            <w:tcW w:w="1176" w:type="dxa"/>
            <w:vAlign w:val="center"/>
          </w:tcPr>
          <w:p>
            <w:pPr>
              <w:jc w:val="center"/>
              <w:rPr>
                <w:rFonts w:ascii="宋体" w:hAnsi="宋体" w:eastAsia="宋体" w:cs="Times New Roman"/>
                <w:sz w:val="24"/>
                <w:szCs w:val="24"/>
              </w:rPr>
            </w:pPr>
            <w:r>
              <w:rPr>
                <w:rFonts w:hint="eastAsia" w:ascii="宋体" w:hAnsi="宋体" w:eastAsia="宋体" w:cs="Times New Roman"/>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3156" w:type="dxa"/>
            <w:gridSpan w:val="6"/>
            <w:vAlign w:val="center"/>
          </w:tcPr>
          <w:p>
            <w:pPr>
              <w:tabs>
                <w:tab w:val="left" w:pos="7495"/>
              </w:tabs>
              <w:jc w:val="center"/>
              <w:rPr>
                <w:rFonts w:hint="eastAsia" w:ascii="宋体" w:hAnsi="宋体" w:eastAsia="宋体" w:cs="仿宋_GB2312"/>
                <w:sz w:val="24"/>
                <w:lang w:eastAsia="zh-CN"/>
              </w:rPr>
            </w:pPr>
            <w:r>
              <w:rPr>
                <w:rFonts w:hint="eastAsia" w:ascii="宋体" w:hAnsi="宋体" w:eastAsia="宋体" w:cs="仿宋_GB2312"/>
                <w:b/>
                <w:bCs/>
                <w:sz w:val="24"/>
                <w:lang w:eastAsia="zh-CN"/>
              </w:rPr>
              <w:t>得分合计</w:t>
            </w:r>
          </w:p>
        </w:tc>
        <w:tc>
          <w:tcPr>
            <w:tcW w:w="1176" w:type="dxa"/>
            <w:vAlign w:val="center"/>
          </w:tcPr>
          <w:p>
            <w:pPr>
              <w:jc w:val="center"/>
              <w:rPr>
                <w:rFonts w:hint="default" w:ascii="宋体" w:hAnsi="宋体" w:eastAsia="宋体" w:cs="Times New Roman"/>
                <w:sz w:val="24"/>
                <w:szCs w:val="24"/>
                <w:lang w:val="en-US" w:eastAsia="zh-CN"/>
              </w:rPr>
            </w:pPr>
            <w:r>
              <w:rPr>
                <w:rFonts w:hint="eastAsia" w:ascii="宋体" w:hAnsi="宋体" w:eastAsia="宋体" w:cs="Times New Roman"/>
                <w:b/>
                <w:bCs/>
                <w:sz w:val="24"/>
                <w:szCs w:val="24"/>
                <w:lang w:val="en-US" w:eastAsia="zh-CN"/>
              </w:rPr>
              <w:t>98.9</w:t>
            </w:r>
          </w:p>
        </w:tc>
      </w:tr>
    </w:tbl>
    <w:p>
      <w:pPr>
        <w:jc w:val="center"/>
        <w:rPr>
          <w:rFonts w:ascii="方正小标宋_GBK" w:hAnsi="方正小标宋_GBK" w:eastAsia="方正小标宋_GBK" w:cs="方正小标宋_GBK"/>
          <w:b/>
          <w:bCs/>
          <w:sz w:val="44"/>
          <w:szCs w:val="44"/>
        </w:rPr>
      </w:pPr>
    </w:p>
    <w:sectPr>
      <w:pgSz w:w="16838" w:h="11906" w:orient="landscape"/>
      <w:pgMar w:top="1134" w:right="1361" w:bottom="1134" w:left="1361" w:header="851" w:footer="992" w:gutter="0"/>
      <w:cols w:space="0" w:num="1"/>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方正黑体_GBK">
    <w:altName w:val="Arial Unicode MS"/>
    <w:panose1 w:val="03000509000000000000"/>
    <w:charset w:val="86"/>
    <w:family w:val="script"/>
    <w:pitch w:val="default"/>
    <w:sig w:usb0="00000000" w:usb1="00000000" w:usb2="00000000" w:usb3="00000000" w:csb0="00040000" w:csb1="00000000"/>
  </w:font>
  <w:font w:name="方正楷体_GBK">
    <w:altName w:val="Arial Unicode MS"/>
    <w:panose1 w:val="03000509000000000000"/>
    <w:charset w:val="86"/>
    <w:family w:val="script"/>
    <w:pitch w:val="default"/>
    <w:sig w:usb0="00000000" w:usb1="00000000" w:usb2="00000000" w:usb3="00000000" w:csb0="00040000" w:csb1="00000000"/>
  </w:font>
  <w:font w:name="方正仿宋_GBK">
    <w:altName w:val="Arial Unicode MS"/>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ascii="宋体" w:hAnsi="宋体" w:eastAsia="宋体"/>
                              <w:sz w:val="28"/>
                              <w:szCs w:val="28"/>
                            </w:rPr>
                          </w:pPr>
                          <w:r>
                            <w:rPr>
                              <w:rFonts w:ascii="宋体" w:hAnsi="宋体" w:eastAsia="宋体"/>
                              <w:sz w:val="28"/>
                              <w:szCs w:val="28"/>
                            </w:rPr>
                            <w:t xml:space="preserve">— </w:t>
                          </w:r>
                          <w:r>
                            <w:rPr>
                              <w:rFonts w:ascii="宋体" w:hAnsi="宋体" w:eastAsia="宋体"/>
                              <w:sz w:val="28"/>
                              <w:szCs w:val="28"/>
                            </w:rPr>
                            <w:fldChar w:fldCharType="begin"/>
                          </w:r>
                          <w:r>
                            <w:rPr>
                              <w:rFonts w:ascii="宋体" w:hAnsi="宋体" w:eastAsia="宋体"/>
                              <w:sz w:val="28"/>
                              <w:szCs w:val="28"/>
                            </w:rPr>
                            <w:instrText xml:space="preserve"> PAGE  \* MERGEFORMAT </w:instrText>
                          </w:r>
                          <w:r>
                            <w:rPr>
                              <w:rFonts w:ascii="宋体" w:hAnsi="宋体" w:eastAsia="宋体"/>
                              <w:sz w:val="28"/>
                              <w:szCs w:val="28"/>
                            </w:rPr>
                            <w:fldChar w:fldCharType="separate"/>
                          </w:r>
                          <w:r>
                            <w:rPr>
                              <w:rFonts w:ascii="宋体" w:hAnsi="宋体" w:eastAsia="宋体"/>
                              <w:sz w:val="28"/>
                              <w:szCs w:val="28"/>
                            </w:rPr>
                            <w:t>1</w:t>
                          </w:r>
                          <w:r>
                            <w:rPr>
                              <w:rFonts w:ascii="宋体" w:hAnsi="宋体" w:eastAsia="宋体"/>
                              <w:sz w:val="28"/>
                              <w:szCs w:val="28"/>
                            </w:rPr>
                            <w:fldChar w:fldCharType="end"/>
                          </w:r>
                          <w:r>
                            <w:rPr>
                              <w:rFonts w:ascii="宋体" w:hAnsi="宋体" w:eastAsia="宋体"/>
                              <w:sz w:val="28"/>
                              <w:szCs w:val="2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4"/>
                      <w:rPr>
                        <w:rFonts w:ascii="宋体" w:hAnsi="宋体" w:eastAsia="宋体"/>
                        <w:sz w:val="28"/>
                        <w:szCs w:val="28"/>
                      </w:rPr>
                    </w:pPr>
                    <w:r>
                      <w:rPr>
                        <w:rFonts w:ascii="宋体" w:hAnsi="宋体" w:eastAsia="宋体"/>
                        <w:sz w:val="28"/>
                        <w:szCs w:val="28"/>
                      </w:rPr>
                      <w:t xml:space="preserve">— </w:t>
                    </w:r>
                    <w:r>
                      <w:rPr>
                        <w:rFonts w:ascii="宋体" w:hAnsi="宋体" w:eastAsia="宋体"/>
                        <w:sz w:val="28"/>
                        <w:szCs w:val="28"/>
                      </w:rPr>
                      <w:fldChar w:fldCharType="begin"/>
                    </w:r>
                    <w:r>
                      <w:rPr>
                        <w:rFonts w:ascii="宋体" w:hAnsi="宋体" w:eastAsia="宋体"/>
                        <w:sz w:val="28"/>
                        <w:szCs w:val="28"/>
                      </w:rPr>
                      <w:instrText xml:space="preserve"> PAGE  \* MERGEFORMAT </w:instrText>
                    </w:r>
                    <w:r>
                      <w:rPr>
                        <w:rFonts w:ascii="宋体" w:hAnsi="宋体" w:eastAsia="宋体"/>
                        <w:sz w:val="28"/>
                        <w:szCs w:val="28"/>
                      </w:rPr>
                      <w:fldChar w:fldCharType="separate"/>
                    </w:r>
                    <w:r>
                      <w:rPr>
                        <w:rFonts w:ascii="宋体" w:hAnsi="宋体" w:eastAsia="宋体"/>
                        <w:sz w:val="28"/>
                        <w:szCs w:val="28"/>
                      </w:rPr>
                      <w:t>1</w:t>
                    </w:r>
                    <w:r>
                      <w:rPr>
                        <w:rFonts w:ascii="宋体" w:hAnsi="宋体" w:eastAsia="宋体"/>
                        <w:sz w:val="28"/>
                        <w:szCs w:val="28"/>
                      </w:rPr>
                      <w:fldChar w:fldCharType="end"/>
                    </w:r>
                    <w:r>
                      <w:rPr>
                        <w:rFonts w:ascii="宋体" w:hAnsi="宋体" w:eastAsia="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trackRevisions w:val="1"/>
  <w:documentProtection w:enforcement="0"/>
  <w:defaultTabStop w:val="420"/>
  <w:drawingGridVerticalSpacing w:val="160"/>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ZlMGI2NDI2NTFhNGJkZDA4ZWI0M2RkODhiN2MwZjQifQ=="/>
  </w:docVars>
  <w:rsids>
    <w:rsidRoot w:val="0E865873"/>
    <w:rsid w:val="00145C5C"/>
    <w:rsid w:val="0021601C"/>
    <w:rsid w:val="0040129E"/>
    <w:rsid w:val="0046702C"/>
    <w:rsid w:val="004B7DCB"/>
    <w:rsid w:val="004F744F"/>
    <w:rsid w:val="005711A6"/>
    <w:rsid w:val="005C3327"/>
    <w:rsid w:val="007D52D1"/>
    <w:rsid w:val="00837F81"/>
    <w:rsid w:val="00841747"/>
    <w:rsid w:val="00844AEE"/>
    <w:rsid w:val="008A5A25"/>
    <w:rsid w:val="008D273D"/>
    <w:rsid w:val="00917C19"/>
    <w:rsid w:val="00925134"/>
    <w:rsid w:val="009B5A95"/>
    <w:rsid w:val="00B31A79"/>
    <w:rsid w:val="00C35970"/>
    <w:rsid w:val="00DF6129"/>
    <w:rsid w:val="018E53BB"/>
    <w:rsid w:val="035E700F"/>
    <w:rsid w:val="036C58F1"/>
    <w:rsid w:val="05087233"/>
    <w:rsid w:val="051A51B8"/>
    <w:rsid w:val="054D1275"/>
    <w:rsid w:val="07FF090A"/>
    <w:rsid w:val="08FA3336"/>
    <w:rsid w:val="0A5540AA"/>
    <w:rsid w:val="0A843C0B"/>
    <w:rsid w:val="0C5619B4"/>
    <w:rsid w:val="0C7766F8"/>
    <w:rsid w:val="0E695E0D"/>
    <w:rsid w:val="0E865873"/>
    <w:rsid w:val="0F4E110E"/>
    <w:rsid w:val="0F6A52CD"/>
    <w:rsid w:val="0F827BE2"/>
    <w:rsid w:val="0FE20680"/>
    <w:rsid w:val="14186369"/>
    <w:rsid w:val="16B079F9"/>
    <w:rsid w:val="16D800E6"/>
    <w:rsid w:val="173D723B"/>
    <w:rsid w:val="18A46E1B"/>
    <w:rsid w:val="19C31523"/>
    <w:rsid w:val="1B813DD7"/>
    <w:rsid w:val="1B8A22F8"/>
    <w:rsid w:val="1B8E7054"/>
    <w:rsid w:val="1BA97B72"/>
    <w:rsid w:val="1CFB5860"/>
    <w:rsid w:val="1D61177E"/>
    <w:rsid w:val="20F1031D"/>
    <w:rsid w:val="21FF49A9"/>
    <w:rsid w:val="25EF775D"/>
    <w:rsid w:val="27221F7E"/>
    <w:rsid w:val="27343A60"/>
    <w:rsid w:val="274719E5"/>
    <w:rsid w:val="28E55011"/>
    <w:rsid w:val="29115E06"/>
    <w:rsid w:val="295E61D7"/>
    <w:rsid w:val="29EB1264"/>
    <w:rsid w:val="29F64FFC"/>
    <w:rsid w:val="2A9E2BF9"/>
    <w:rsid w:val="2C0003B4"/>
    <w:rsid w:val="2D2B4E16"/>
    <w:rsid w:val="2F1033F6"/>
    <w:rsid w:val="3005243D"/>
    <w:rsid w:val="31BE28A4"/>
    <w:rsid w:val="32650F71"/>
    <w:rsid w:val="36DC4BC4"/>
    <w:rsid w:val="37887BDC"/>
    <w:rsid w:val="38623E3A"/>
    <w:rsid w:val="3A293DEE"/>
    <w:rsid w:val="3A694390"/>
    <w:rsid w:val="3CA60590"/>
    <w:rsid w:val="4120702C"/>
    <w:rsid w:val="423D5C65"/>
    <w:rsid w:val="446A2417"/>
    <w:rsid w:val="44AC1F62"/>
    <w:rsid w:val="44DD0E3B"/>
    <w:rsid w:val="49560981"/>
    <w:rsid w:val="496E4299"/>
    <w:rsid w:val="4A616416"/>
    <w:rsid w:val="4EB960B8"/>
    <w:rsid w:val="51172F9F"/>
    <w:rsid w:val="52207E0C"/>
    <w:rsid w:val="523924E1"/>
    <w:rsid w:val="53980D4F"/>
    <w:rsid w:val="5459266B"/>
    <w:rsid w:val="55517407"/>
    <w:rsid w:val="56123EEE"/>
    <w:rsid w:val="59BB5797"/>
    <w:rsid w:val="5A520382"/>
    <w:rsid w:val="5B0867BA"/>
    <w:rsid w:val="5B303F63"/>
    <w:rsid w:val="5B9323D9"/>
    <w:rsid w:val="5C3476D0"/>
    <w:rsid w:val="5D546CA2"/>
    <w:rsid w:val="5ED21CCF"/>
    <w:rsid w:val="5EFB2B82"/>
    <w:rsid w:val="5F705C45"/>
    <w:rsid w:val="5FE50F2B"/>
    <w:rsid w:val="60870181"/>
    <w:rsid w:val="60957B84"/>
    <w:rsid w:val="60C90799"/>
    <w:rsid w:val="60ED6BD4"/>
    <w:rsid w:val="612B4FB0"/>
    <w:rsid w:val="61DA79FA"/>
    <w:rsid w:val="61F45CEA"/>
    <w:rsid w:val="62330EBD"/>
    <w:rsid w:val="62361E5F"/>
    <w:rsid w:val="634703AA"/>
    <w:rsid w:val="63B03E93"/>
    <w:rsid w:val="64B27BA1"/>
    <w:rsid w:val="657E3475"/>
    <w:rsid w:val="67D60247"/>
    <w:rsid w:val="69144D3F"/>
    <w:rsid w:val="69324B5A"/>
    <w:rsid w:val="69AA3132"/>
    <w:rsid w:val="6B0B57FC"/>
    <w:rsid w:val="6BA01D5F"/>
    <w:rsid w:val="6E8E4DD0"/>
    <w:rsid w:val="6F05256C"/>
    <w:rsid w:val="6FA36389"/>
    <w:rsid w:val="70DE5EA4"/>
    <w:rsid w:val="71F7127B"/>
    <w:rsid w:val="72323CC5"/>
    <w:rsid w:val="727D13E4"/>
    <w:rsid w:val="7424765B"/>
    <w:rsid w:val="74DA5387"/>
    <w:rsid w:val="75483F2B"/>
    <w:rsid w:val="754C27D9"/>
    <w:rsid w:val="79D174B1"/>
    <w:rsid w:val="7A2D430B"/>
    <w:rsid w:val="7A4F7C74"/>
    <w:rsid w:val="7A8B4F10"/>
    <w:rsid w:val="7B245D5A"/>
    <w:rsid w:val="7B9C34AD"/>
    <w:rsid w:val="7EAB4E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qFormat/>
    <w:uiPriority w:val="0"/>
    <w:pPr>
      <w:jc w:val="left"/>
    </w:pPr>
  </w:style>
  <w:style w:type="paragraph" w:styleId="3">
    <w:name w:val="Balloon Text"/>
    <w:basedOn w:val="1"/>
    <w:link w:val="16"/>
    <w:qFormat/>
    <w:uiPriority w:val="0"/>
    <w:rPr>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rPr>
      <w:sz w:val="24"/>
    </w:rPr>
  </w:style>
  <w:style w:type="paragraph" w:styleId="7">
    <w:name w:val="annotation subject"/>
    <w:basedOn w:val="2"/>
    <w:next w:val="2"/>
    <w:link w:val="15"/>
    <w:qFormat/>
    <w:uiPriority w:val="0"/>
    <w:rPr>
      <w:b/>
      <w:bCs/>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qFormat/>
    <w:uiPriority w:val="0"/>
    <w:rPr>
      <w:sz w:val="21"/>
      <w:szCs w:val="21"/>
    </w:rPr>
  </w:style>
  <w:style w:type="character" w:customStyle="1" w:styleId="12">
    <w:name w:val="font41"/>
    <w:basedOn w:val="10"/>
    <w:qFormat/>
    <w:uiPriority w:val="0"/>
    <w:rPr>
      <w:rFonts w:hint="default" w:ascii="仿宋_GB2312" w:eastAsia="仿宋_GB2312" w:cs="仿宋_GB2312"/>
      <w:color w:val="000000"/>
      <w:sz w:val="24"/>
      <w:szCs w:val="24"/>
      <w:u w:val="none"/>
    </w:rPr>
  </w:style>
  <w:style w:type="character" w:customStyle="1" w:styleId="13">
    <w:name w:val="font21"/>
    <w:basedOn w:val="10"/>
    <w:qFormat/>
    <w:uiPriority w:val="0"/>
    <w:rPr>
      <w:rFonts w:hint="default" w:ascii="Times New Roman" w:hAnsi="Times New Roman" w:cs="Times New Roman"/>
      <w:color w:val="000000"/>
      <w:sz w:val="24"/>
      <w:szCs w:val="24"/>
      <w:u w:val="none"/>
    </w:rPr>
  </w:style>
  <w:style w:type="character" w:customStyle="1" w:styleId="14">
    <w:name w:val="批注文字 字符"/>
    <w:basedOn w:val="10"/>
    <w:link w:val="2"/>
    <w:qFormat/>
    <w:uiPriority w:val="0"/>
    <w:rPr>
      <w:rFonts w:asciiTheme="minorHAnsi" w:hAnsiTheme="minorHAnsi" w:eastAsiaTheme="minorEastAsia" w:cstheme="minorBidi"/>
      <w:kern w:val="2"/>
      <w:sz w:val="21"/>
      <w:szCs w:val="24"/>
    </w:rPr>
  </w:style>
  <w:style w:type="character" w:customStyle="1" w:styleId="15">
    <w:name w:val="批注主题 字符"/>
    <w:basedOn w:val="14"/>
    <w:link w:val="7"/>
    <w:qFormat/>
    <w:uiPriority w:val="0"/>
    <w:rPr>
      <w:rFonts w:asciiTheme="minorHAnsi" w:hAnsiTheme="minorHAnsi" w:eastAsiaTheme="minorEastAsia" w:cstheme="minorBidi"/>
      <w:b/>
      <w:bCs/>
      <w:kern w:val="2"/>
      <w:sz w:val="21"/>
      <w:szCs w:val="24"/>
    </w:rPr>
  </w:style>
  <w:style w:type="character" w:customStyle="1" w:styleId="16">
    <w:name w:val="批注框文本 字符"/>
    <w:basedOn w:val="10"/>
    <w:link w:val="3"/>
    <w:qFormat/>
    <w:uiPriority w:val="0"/>
    <w:rPr>
      <w:rFonts w:asciiTheme="minorHAnsi" w:hAnsiTheme="minorHAnsi" w:eastAsiaTheme="minorEastAsia" w:cstheme="minorBidi"/>
      <w:kern w:val="2"/>
      <w:sz w:val="18"/>
      <w:szCs w:val="18"/>
    </w:rPr>
  </w:style>
  <w:style w:type="paragraph" w:customStyle="1" w:styleId="17">
    <w:name w:val="Revision"/>
    <w:hidden/>
    <w:semiHidden/>
    <w:qFormat/>
    <w:uiPriority w:val="99"/>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3756</Words>
  <Characters>3888</Characters>
  <Lines>29</Lines>
  <Paragraphs>8</Paragraphs>
  <TotalTime>1</TotalTime>
  <ScaleCrop>false</ScaleCrop>
  <LinksUpToDate>false</LinksUpToDate>
  <CharactersWithSpaces>3917</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2023-05-25T01:46:00Z</dcterms:created>
  <dc:creator>思享</dc:creator>
  <cp:lastModifiedBy>Administrator</cp:lastModifiedBy>
  <dcterms:modified xsi:type="dcterms:W3CDTF">2023-09-26T06:03:06Z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F8A3A08C459E445E98DDB0A09454674D_11</vt:lpwstr>
  </property>
</Properties>
</file>